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6C" w:rsidRDefault="00B7686C" w:rsidP="0098773A">
      <w:pPr>
        <w:jc w:val="center"/>
        <w:rPr>
          <w:b/>
          <w:lang w:val="en-US"/>
        </w:rPr>
      </w:pPr>
    </w:p>
    <w:p w:rsidR="0098773A" w:rsidRPr="008F1C27" w:rsidRDefault="0098773A" w:rsidP="0098773A">
      <w:pPr>
        <w:jc w:val="center"/>
        <w:rPr>
          <w:b/>
          <w:sz w:val="22"/>
          <w:szCs w:val="22"/>
          <w:lang w:val="en-US"/>
        </w:rPr>
      </w:pPr>
      <w:r w:rsidRPr="008F1C27">
        <w:rPr>
          <w:b/>
          <w:sz w:val="22"/>
          <w:szCs w:val="22"/>
          <w:lang w:val="en-US"/>
        </w:rPr>
        <w:t>THE EFFECTS OF ZINC AMINO ACID IN WALKING CATFISH (</w:t>
      </w:r>
      <w:proofErr w:type="spellStart"/>
      <w:r w:rsidRPr="008F1C27">
        <w:rPr>
          <w:b/>
          <w:i/>
          <w:sz w:val="22"/>
          <w:szCs w:val="22"/>
          <w:lang w:val="en-US"/>
        </w:rPr>
        <w:t>Clariasmacrocephalus</w:t>
      </w:r>
      <w:proofErr w:type="spellEnd"/>
      <w:r w:rsidRPr="008F1C27">
        <w:rPr>
          <w:b/>
          <w:sz w:val="22"/>
          <w:szCs w:val="22"/>
          <w:lang w:val="en-US"/>
        </w:rPr>
        <w:t>) MALE BROODSTOCK MATURATION AND SPERM QUALITY</w:t>
      </w:r>
    </w:p>
    <w:p w:rsidR="0098773A" w:rsidRPr="008F1C27" w:rsidRDefault="0098773A" w:rsidP="0098773A">
      <w:pPr>
        <w:jc w:val="center"/>
        <w:rPr>
          <w:sz w:val="22"/>
          <w:szCs w:val="22"/>
          <w:lang w:val="en-US"/>
        </w:rPr>
      </w:pPr>
    </w:p>
    <w:p w:rsidR="0098773A" w:rsidRDefault="0098773A" w:rsidP="0098773A">
      <w:pPr>
        <w:jc w:val="center"/>
        <w:rPr>
          <w:bCs/>
          <w:sz w:val="22"/>
          <w:szCs w:val="22"/>
          <w:vertAlign w:val="superscript"/>
          <w:lang w:val="en-US"/>
        </w:rPr>
      </w:pPr>
      <w:r w:rsidRPr="008F1C27">
        <w:rPr>
          <w:bCs/>
          <w:sz w:val="22"/>
          <w:szCs w:val="22"/>
          <w:lang w:val="en-US"/>
        </w:rPr>
        <w:t>Siti-</w:t>
      </w:r>
      <w:proofErr w:type="spellStart"/>
      <w:r w:rsidRPr="008F1C27">
        <w:rPr>
          <w:bCs/>
          <w:sz w:val="22"/>
          <w:szCs w:val="22"/>
          <w:lang w:val="en-US"/>
        </w:rPr>
        <w:t>Ariza</w:t>
      </w:r>
      <w:proofErr w:type="spellEnd"/>
      <w:r w:rsidRPr="008F1C27">
        <w:rPr>
          <w:bCs/>
          <w:sz w:val="22"/>
          <w:szCs w:val="22"/>
          <w:lang w:val="en-US"/>
        </w:rPr>
        <w:t xml:space="preserve"> Aripin</w:t>
      </w:r>
      <w:r w:rsidRPr="008F1C27">
        <w:rPr>
          <w:bCs/>
          <w:sz w:val="22"/>
          <w:szCs w:val="22"/>
          <w:vertAlign w:val="superscript"/>
          <w:lang w:val="en-US"/>
        </w:rPr>
        <w:t>1*</w:t>
      </w:r>
      <w:r w:rsidRPr="008F1C27">
        <w:rPr>
          <w:bCs/>
          <w:sz w:val="22"/>
          <w:szCs w:val="22"/>
          <w:lang w:val="en-US"/>
        </w:rPr>
        <w:t xml:space="preserve">, </w:t>
      </w:r>
      <w:proofErr w:type="spellStart"/>
      <w:r w:rsidRPr="008F1C27">
        <w:rPr>
          <w:bCs/>
          <w:sz w:val="22"/>
          <w:szCs w:val="22"/>
          <w:lang w:val="en-US"/>
        </w:rPr>
        <w:t>Orapint</w:t>
      </w:r>
      <w:proofErr w:type="spellEnd"/>
      <w:r w:rsidRPr="008F1C27">
        <w:rPr>
          <w:bCs/>
          <w:sz w:val="22"/>
          <w:szCs w:val="22"/>
          <w:lang w:val="en-US"/>
        </w:rPr>
        <w:t xml:space="preserve"> Jintasataporn</w:t>
      </w:r>
      <w:r w:rsidRPr="008F1C27">
        <w:rPr>
          <w:bCs/>
          <w:sz w:val="22"/>
          <w:szCs w:val="22"/>
          <w:vertAlign w:val="superscript"/>
          <w:lang w:val="en-US"/>
        </w:rPr>
        <w:t>2</w:t>
      </w:r>
      <w:r w:rsidRPr="008F1C27">
        <w:rPr>
          <w:bCs/>
          <w:sz w:val="22"/>
          <w:szCs w:val="22"/>
          <w:lang w:val="en-US"/>
        </w:rPr>
        <w:t xml:space="preserve"> and </w:t>
      </w:r>
      <w:proofErr w:type="spellStart"/>
      <w:r w:rsidRPr="008F1C27">
        <w:rPr>
          <w:bCs/>
          <w:sz w:val="22"/>
          <w:szCs w:val="22"/>
          <w:lang w:val="en-US"/>
        </w:rPr>
        <w:t>Ruangvit</w:t>
      </w:r>
      <w:proofErr w:type="spellEnd"/>
      <w:r w:rsidRPr="008F1C27">
        <w:rPr>
          <w:bCs/>
          <w:sz w:val="22"/>
          <w:szCs w:val="22"/>
          <w:lang w:val="en-US"/>
        </w:rPr>
        <w:t xml:space="preserve"> Yoonpundh</w:t>
      </w:r>
      <w:r w:rsidRPr="008F1C27">
        <w:rPr>
          <w:bCs/>
          <w:sz w:val="22"/>
          <w:szCs w:val="22"/>
          <w:vertAlign w:val="superscript"/>
          <w:lang w:val="en-US"/>
        </w:rPr>
        <w:t>2</w:t>
      </w:r>
    </w:p>
    <w:p w:rsidR="008F1C27" w:rsidRPr="008F1C27" w:rsidRDefault="008F1C27" w:rsidP="0098773A">
      <w:pPr>
        <w:jc w:val="center"/>
        <w:rPr>
          <w:bCs/>
          <w:sz w:val="22"/>
          <w:szCs w:val="22"/>
          <w:lang w:val="en-US"/>
        </w:rPr>
      </w:pPr>
    </w:p>
    <w:p w:rsidR="0098773A" w:rsidRPr="008F1C27" w:rsidRDefault="0098773A" w:rsidP="0098773A">
      <w:pPr>
        <w:jc w:val="center"/>
        <w:rPr>
          <w:i/>
          <w:iCs/>
          <w:sz w:val="20"/>
          <w:szCs w:val="20"/>
          <w:lang w:val="en-US"/>
        </w:rPr>
      </w:pPr>
      <w:r w:rsidRPr="008F1C27">
        <w:rPr>
          <w:i/>
          <w:iCs/>
          <w:sz w:val="20"/>
          <w:szCs w:val="20"/>
          <w:vertAlign w:val="superscript"/>
          <w:lang w:val="en-US"/>
        </w:rPr>
        <w:t>1</w:t>
      </w:r>
      <w:r w:rsidRPr="008F1C27">
        <w:rPr>
          <w:i/>
          <w:iCs/>
          <w:sz w:val="20"/>
          <w:szCs w:val="20"/>
          <w:lang w:val="en-US"/>
        </w:rPr>
        <w:t xml:space="preserve">School of Fisheries and Aquaculture Sciences, </w:t>
      </w:r>
      <w:proofErr w:type="spellStart"/>
      <w:r w:rsidRPr="008F1C27">
        <w:rPr>
          <w:i/>
          <w:iCs/>
          <w:sz w:val="20"/>
          <w:szCs w:val="20"/>
          <w:lang w:val="en-US"/>
        </w:rPr>
        <w:t>Universiti</w:t>
      </w:r>
      <w:proofErr w:type="spellEnd"/>
      <w:r w:rsidRPr="008F1C27">
        <w:rPr>
          <w:i/>
          <w:iCs/>
          <w:sz w:val="20"/>
          <w:szCs w:val="20"/>
          <w:lang w:val="en-US"/>
        </w:rPr>
        <w:t xml:space="preserve"> Malaysia Terengganu, 21030, Terengganu, Malaysia</w:t>
      </w:r>
    </w:p>
    <w:p w:rsidR="0098773A" w:rsidRPr="008F1C27" w:rsidRDefault="0098773A" w:rsidP="0098773A">
      <w:pPr>
        <w:jc w:val="center"/>
        <w:rPr>
          <w:sz w:val="20"/>
          <w:szCs w:val="20"/>
        </w:rPr>
      </w:pPr>
      <w:r w:rsidRPr="008F1C27">
        <w:rPr>
          <w:i/>
          <w:iCs/>
          <w:sz w:val="20"/>
          <w:szCs w:val="20"/>
          <w:vertAlign w:val="superscript"/>
          <w:lang w:val="en-US"/>
        </w:rPr>
        <w:t>2</w:t>
      </w:r>
      <w:r w:rsidRPr="008F1C27">
        <w:rPr>
          <w:i/>
          <w:iCs/>
          <w:sz w:val="20"/>
          <w:szCs w:val="20"/>
          <w:lang w:val="en-US"/>
        </w:rPr>
        <w:t xml:space="preserve">Faculty of Fisheries, </w:t>
      </w:r>
      <w:proofErr w:type="spellStart"/>
      <w:r w:rsidRPr="008F1C27">
        <w:rPr>
          <w:i/>
          <w:iCs/>
          <w:sz w:val="20"/>
          <w:szCs w:val="20"/>
          <w:lang w:val="en-US"/>
        </w:rPr>
        <w:t>Kasetsart</w:t>
      </w:r>
      <w:proofErr w:type="spellEnd"/>
      <w:r w:rsidRPr="008F1C27">
        <w:rPr>
          <w:i/>
          <w:iCs/>
          <w:sz w:val="20"/>
          <w:szCs w:val="20"/>
          <w:lang w:val="en-US"/>
        </w:rPr>
        <w:t xml:space="preserve"> University, 10900, Bangkok, Thailand</w:t>
      </w:r>
    </w:p>
    <w:p w:rsidR="0098773A" w:rsidRPr="001A3D51" w:rsidRDefault="0098773A" w:rsidP="0098773A">
      <w:pPr>
        <w:ind w:firstLine="720"/>
        <w:jc w:val="both"/>
        <w:rPr>
          <w:b/>
        </w:rPr>
      </w:pPr>
    </w:p>
    <w:p w:rsidR="0098773A" w:rsidRPr="008F1C27" w:rsidRDefault="0098773A" w:rsidP="0098773A">
      <w:pPr>
        <w:jc w:val="center"/>
        <w:rPr>
          <w:b/>
          <w:sz w:val="22"/>
          <w:szCs w:val="22"/>
        </w:rPr>
      </w:pPr>
      <w:r w:rsidRPr="008F1C27">
        <w:rPr>
          <w:b/>
          <w:sz w:val="22"/>
          <w:szCs w:val="22"/>
        </w:rPr>
        <w:t>Abstract</w:t>
      </w:r>
    </w:p>
    <w:p w:rsidR="0098773A" w:rsidRPr="008F1C27" w:rsidRDefault="0098773A" w:rsidP="0098773A">
      <w:pPr>
        <w:jc w:val="both"/>
        <w:rPr>
          <w:sz w:val="22"/>
          <w:szCs w:val="22"/>
        </w:rPr>
      </w:pPr>
      <w:r w:rsidRPr="008F1C27">
        <w:rPr>
          <w:sz w:val="22"/>
          <w:szCs w:val="22"/>
        </w:rPr>
        <w:t xml:space="preserve">This study examines the effects of </w:t>
      </w:r>
      <w:r w:rsidRPr="008F1C27">
        <w:rPr>
          <w:sz w:val="22"/>
          <w:szCs w:val="22"/>
          <w:lang w:val="en-US"/>
        </w:rPr>
        <w:t>zinc amino acid (</w:t>
      </w:r>
      <w:proofErr w:type="spellStart"/>
      <w:r w:rsidRPr="008F1C27">
        <w:rPr>
          <w:sz w:val="22"/>
          <w:szCs w:val="22"/>
          <w:lang w:val="en-US"/>
        </w:rPr>
        <w:t>ZnAA</w:t>
      </w:r>
      <w:proofErr w:type="spellEnd"/>
      <w:r w:rsidRPr="008F1C27">
        <w:rPr>
          <w:sz w:val="22"/>
          <w:szCs w:val="22"/>
          <w:lang w:val="en-US"/>
        </w:rPr>
        <w:t>)</w:t>
      </w:r>
      <w:r w:rsidRPr="008F1C27">
        <w:rPr>
          <w:sz w:val="22"/>
          <w:szCs w:val="22"/>
        </w:rPr>
        <w:t xml:space="preserve"> treatment to maturation and sperm quality of male Walking catfish, </w:t>
      </w:r>
      <w:proofErr w:type="spellStart"/>
      <w:r w:rsidRPr="008F1C27">
        <w:rPr>
          <w:i/>
          <w:sz w:val="22"/>
          <w:szCs w:val="22"/>
        </w:rPr>
        <w:t>Clariasmacrocephalus</w:t>
      </w:r>
      <w:r w:rsidRPr="008F1C27">
        <w:rPr>
          <w:sz w:val="22"/>
          <w:szCs w:val="22"/>
        </w:rPr>
        <w:t>broodstock</w:t>
      </w:r>
      <w:proofErr w:type="spellEnd"/>
      <w:r w:rsidRPr="008F1C27">
        <w:rPr>
          <w:sz w:val="22"/>
          <w:szCs w:val="22"/>
        </w:rPr>
        <w:t xml:space="preserve">. The fishes were fed at a level equivalent to 3% of their body weight and this amount of diet was divided into two equal feedings per day. The gradual </w:t>
      </w:r>
      <w:proofErr w:type="spellStart"/>
      <w:r w:rsidRPr="008F1C27">
        <w:rPr>
          <w:sz w:val="22"/>
          <w:szCs w:val="22"/>
        </w:rPr>
        <w:t>ZnAA</w:t>
      </w:r>
      <w:proofErr w:type="spellEnd"/>
      <w:r w:rsidRPr="008F1C27">
        <w:rPr>
          <w:sz w:val="22"/>
          <w:szCs w:val="22"/>
        </w:rPr>
        <w:t xml:space="preserve"> levels of Control, ZnAA1 and ZnAA2 in the diet mixed in isonitrogenous and isocaloric of 37% crude protein and 9.3% crude lipid. </w:t>
      </w:r>
      <w:proofErr w:type="spellStart"/>
      <w:r w:rsidRPr="008F1C27">
        <w:rPr>
          <w:sz w:val="22"/>
          <w:szCs w:val="22"/>
        </w:rPr>
        <w:t>ZnAA</w:t>
      </w:r>
      <w:proofErr w:type="spellEnd"/>
      <w:r w:rsidRPr="008F1C27">
        <w:rPr>
          <w:sz w:val="22"/>
          <w:szCs w:val="22"/>
        </w:rPr>
        <w:t xml:space="preserve"> accumulation, </w:t>
      </w:r>
      <w:proofErr w:type="spellStart"/>
      <w:r w:rsidRPr="008F1C27">
        <w:rPr>
          <w:sz w:val="22"/>
          <w:szCs w:val="22"/>
        </w:rPr>
        <w:t>broodstock</w:t>
      </w:r>
      <w:proofErr w:type="spellEnd"/>
      <w:r w:rsidRPr="008F1C27">
        <w:rPr>
          <w:sz w:val="22"/>
          <w:szCs w:val="22"/>
        </w:rPr>
        <w:t xml:space="preserve"> maturation analysis and sperm kinetic analysis were assessed after eight weeks of treatment.</w:t>
      </w:r>
      <w:r w:rsidRPr="008F1C27">
        <w:rPr>
          <w:sz w:val="22"/>
          <w:szCs w:val="22"/>
          <w:lang w:val="en-US"/>
        </w:rPr>
        <w:t xml:space="preserve">The treatment has significant different in bone for </w:t>
      </w:r>
      <w:proofErr w:type="spellStart"/>
      <w:r w:rsidRPr="008F1C27">
        <w:rPr>
          <w:sz w:val="22"/>
          <w:szCs w:val="22"/>
          <w:lang w:val="en-US"/>
        </w:rPr>
        <w:t>ZnAA</w:t>
      </w:r>
      <w:proofErr w:type="spellEnd"/>
      <w:r w:rsidRPr="008F1C27">
        <w:rPr>
          <w:sz w:val="22"/>
          <w:szCs w:val="22"/>
          <w:lang w:val="en-US"/>
        </w:rPr>
        <w:t xml:space="preserve"> accumulation. The </w:t>
      </w:r>
      <w:proofErr w:type="spellStart"/>
      <w:r w:rsidRPr="008F1C27">
        <w:rPr>
          <w:sz w:val="22"/>
          <w:szCs w:val="22"/>
          <w:lang w:val="en-US"/>
        </w:rPr>
        <w:t>ZnAA</w:t>
      </w:r>
      <w:proofErr w:type="spellEnd"/>
      <w:r w:rsidRPr="008F1C27">
        <w:rPr>
          <w:sz w:val="22"/>
          <w:szCs w:val="22"/>
          <w:lang w:val="en-US"/>
        </w:rPr>
        <w:t xml:space="preserve"> treatment increased the gonadosomatic index, </w:t>
      </w:r>
      <w:r w:rsidRPr="008F1C27">
        <w:rPr>
          <w:sz w:val="22"/>
          <w:szCs w:val="22"/>
        </w:rPr>
        <w:t xml:space="preserve">live sperm rate, sperm motility, sperm progressive, and lowering sperm abnormality. </w:t>
      </w:r>
    </w:p>
    <w:p w:rsidR="0098773A" w:rsidRPr="008F1C27" w:rsidRDefault="0098773A" w:rsidP="0098773A">
      <w:pPr>
        <w:jc w:val="both"/>
        <w:rPr>
          <w:bCs/>
          <w:sz w:val="22"/>
          <w:szCs w:val="22"/>
          <w:lang w:val="en-US"/>
        </w:rPr>
      </w:pPr>
    </w:p>
    <w:p w:rsidR="0098773A" w:rsidRPr="008F1C27" w:rsidRDefault="0098773A" w:rsidP="0098773A">
      <w:pPr>
        <w:jc w:val="both"/>
        <w:rPr>
          <w:sz w:val="22"/>
          <w:szCs w:val="22"/>
          <w:lang w:val="en-US"/>
        </w:rPr>
      </w:pPr>
      <w:r w:rsidRPr="008F1C27">
        <w:rPr>
          <w:bCs/>
          <w:sz w:val="22"/>
          <w:szCs w:val="22"/>
          <w:lang w:val="en-US"/>
        </w:rPr>
        <w:t>Keywords</w:t>
      </w:r>
      <w:r w:rsidRPr="008F1C27">
        <w:rPr>
          <w:b/>
          <w:bCs/>
          <w:sz w:val="22"/>
          <w:szCs w:val="22"/>
          <w:lang w:val="en-US"/>
        </w:rPr>
        <w:t xml:space="preserve">: </w:t>
      </w:r>
      <w:r w:rsidRPr="008F1C27">
        <w:rPr>
          <w:sz w:val="22"/>
          <w:szCs w:val="22"/>
          <w:lang w:val="en-US"/>
        </w:rPr>
        <w:t xml:space="preserve">Zinc amino </w:t>
      </w:r>
      <w:proofErr w:type="spellStart"/>
      <w:r w:rsidRPr="008F1C27">
        <w:rPr>
          <w:sz w:val="22"/>
          <w:szCs w:val="22"/>
          <w:lang w:val="en-US"/>
        </w:rPr>
        <w:t>acid;histology</w:t>
      </w:r>
      <w:proofErr w:type="spellEnd"/>
      <w:r w:rsidRPr="008F1C27">
        <w:rPr>
          <w:sz w:val="22"/>
          <w:szCs w:val="22"/>
          <w:lang w:val="en-US"/>
        </w:rPr>
        <w:t>; gonad; male; Catfish</w:t>
      </w:r>
    </w:p>
    <w:p w:rsidR="0098773A" w:rsidRPr="008F1C27" w:rsidRDefault="0098773A" w:rsidP="0098773A">
      <w:pPr>
        <w:jc w:val="both"/>
        <w:rPr>
          <w:sz w:val="22"/>
          <w:szCs w:val="22"/>
          <w:lang w:val="en-US"/>
        </w:rPr>
      </w:pPr>
    </w:p>
    <w:p w:rsidR="0098773A" w:rsidRPr="008F1C27" w:rsidRDefault="0098773A" w:rsidP="0098773A">
      <w:pPr>
        <w:rPr>
          <w:b/>
          <w:sz w:val="22"/>
          <w:szCs w:val="22"/>
        </w:rPr>
      </w:pPr>
      <w:r w:rsidRPr="008F1C27">
        <w:rPr>
          <w:b/>
          <w:sz w:val="22"/>
          <w:szCs w:val="22"/>
        </w:rPr>
        <w:t>Introduction</w:t>
      </w:r>
    </w:p>
    <w:p w:rsidR="0098773A" w:rsidRPr="008F1C27" w:rsidRDefault="0098773A" w:rsidP="0098773A">
      <w:pPr>
        <w:rPr>
          <w:b/>
          <w:sz w:val="22"/>
          <w:szCs w:val="22"/>
        </w:rPr>
      </w:pPr>
    </w:p>
    <w:p w:rsidR="0098773A" w:rsidRPr="008F1C27" w:rsidRDefault="0098773A" w:rsidP="0098773A">
      <w:pPr>
        <w:jc w:val="both"/>
        <w:rPr>
          <w:bCs/>
          <w:sz w:val="22"/>
          <w:szCs w:val="22"/>
        </w:rPr>
      </w:pPr>
      <w:proofErr w:type="spellStart"/>
      <w:r w:rsidRPr="008F1C27">
        <w:rPr>
          <w:i/>
          <w:sz w:val="22"/>
          <w:szCs w:val="22"/>
        </w:rPr>
        <w:t>Clariasmacrocephalus</w:t>
      </w:r>
      <w:proofErr w:type="spellEnd"/>
      <w:r w:rsidRPr="008F1C27">
        <w:rPr>
          <w:sz w:val="22"/>
          <w:szCs w:val="22"/>
        </w:rPr>
        <w:t xml:space="preserve"> is under the </w:t>
      </w:r>
      <w:proofErr w:type="spellStart"/>
      <w:r w:rsidRPr="008F1C27">
        <w:rPr>
          <w:sz w:val="22"/>
          <w:szCs w:val="22"/>
        </w:rPr>
        <w:t>Clariidae</w:t>
      </w:r>
      <w:proofErr w:type="spellEnd"/>
      <w:r w:rsidRPr="008F1C27">
        <w:rPr>
          <w:sz w:val="22"/>
          <w:szCs w:val="22"/>
        </w:rPr>
        <w:t xml:space="preserve"> family and it is an important species in aquaculture industry especially in Southeast Asia (</w:t>
      </w:r>
      <w:proofErr w:type="spellStart"/>
      <w:r w:rsidRPr="008F1C27">
        <w:rPr>
          <w:sz w:val="22"/>
          <w:szCs w:val="22"/>
        </w:rPr>
        <w:t>Areerat</w:t>
      </w:r>
      <w:proofErr w:type="spellEnd"/>
      <w:r w:rsidRPr="008F1C27">
        <w:rPr>
          <w:sz w:val="22"/>
          <w:szCs w:val="22"/>
        </w:rPr>
        <w:t>, 1987). Captive stock usually has delay maturation due slow adult growth and sacrificing male catfish to obtain milt for artificial propagation resulting to the depletion of captive stock. Zinc is essential trace element that is required for growth and development in plants, animals, and humans (Baker and Ammerman 1995). Functions that require zinc regulation including reproduction (</w:t>
      </w:r>
      <w:proofErr w:type="spellStart"/>
      <w:r w:rsidRPr="008F1C27">
        <w:rPr>
          <w:sz w:val="22"/>
          <w:szCs w:val="22"/>
        </w:rPr>
        <w:t>Maret</w:t>
      </w:r>
      <w:proofErr w:type="spellEnd"/>
      <w:r w:rsidRPr="008F1C27">
        <w:rPr>
          <w:sz w:val="22"/>
          <w:szCs w:val="22"/>
        </w:rPr>
        <w:t xml:space="preserve"> and </w:t>
      </w:r>
      <w:proofErr w:type="spellStart"/>
      <w:r w:rsidRPr="008F1C27">
        <w:rPr>
          <w:sz w:val="22"/>
          <w:szCs w:val="22"/>
          <w:lang w:val="en-US"/>
        </w:rPr>
        <w:t>Sandstead</w:t>
      </w:r>
      <w:proofErr w:type="spellEnd"/>
      <w:r w:rsidRPr="008F1C27">
        <w:rPr>
          <w:sz w:val="22"/>
          <w:szCs w:val="22"/>
        </w:rPr>
        <w:t xml:space="preserve"> 2006).Metallothionein is a zinc protein that involved in the transport, metabolism and homeostasis in tissues and cells (Kurita </w:t>
      </w:r>
      <w:r w:rsidRPr="008F1C27">
        <w:rPr>
          <w:i/>
          <w:sz w:val="22"/>
          <w:szCs w:val="22"/>
        </w:rPr>
        <w:t xml:space="preserve">et al. </w:t>
      </w:r>
      <w:r w:rsidRPr="008F1C27">
        <w:rPr>
          <w:sz w:val="22"/>
          <w:szCs w:val="22"/>
        </w:rPr>
        <w:t xml:space="preserve"> 2013). According to </w:t>
      </w:r>
      <w:proofErr w:type="spellStart"/>
      <w:r w:rsidRPr="008F1C27">
        <w:rPr>
          <w:sz w:val="22"/>
          <w:szCs w:val="22"/>
        </w:rPr>
        <w:t>Salgueiro</w:t>
      </w:r>
      <w:r w:rsidRPr="008F1C27">
        <w:rPr>
          <w:i/>
          <w:sz w:val="22"/>
          <w:szCs w:val="22"/>
        </w:rPr>
        <w:t>et</w:t>
      </w:r>
      <w:proofErr w:type="spellEnd"/>
      <w:r w:rsidRPr="008F1C27">
        <w:rPr>
          <w:i/>
          <w:sz w:val="22"/>
          <w:szCs w:val="22"/>
        </w:rPr>
        <w:t xml:space="preserve"> al.</w:t>
      </w:r>
      <w:r w:rsidRPr="008F1C27">
        <w:rPr>
          <w:sz w:val="22"/>
          <w:szCs w:val="22"/>
        </w:rPr>
        <w:t xml:space="preserve"> (2000), zinc plays an essential role in reproduction by zinc fingers mediation of androgens and </w:t>
      </w:r>
      <w:proofErr w:type="spellStart"/>
      <w:r w:rsidRPr="008F1C27">
        <w:rPr>
          <w:sz w:val="22"/>
          <w:szCs w:val="22"/>
        </w:rPr>
        <w:t>estrogenswhich</w:t>
      </w:r>
      <w:proofErr w:type="spellEnd"/>
      <w:r w:rsidRPr="008F1C27">
        <w:rPr>
          <w:sz w:val="22"/>
          <w:szCs w:val="22"/>
        </w:rPr>
        <w:t xml:space="preserve"> necessary for the synthesis and secretion of gonadotrophins, gonadal differentiation, testicular growth, and </w:t>
      </w:r>
      <w:proofErr w:type="spellStart"/>
      <w:r w:rsidRPr="008F1C27">
        <w:rPr>
          <w:sz w:val="22"/>
          <w:szCs w:val="22"/>
        </w:rPr>
        <w:t>fertilization.Zinc</w:t>
      </w:r>
      <w:proofErr w:type="spellEnd"/>
      <w:r w:rsidRPr="008F1C27">
        <w:rPr>
          <w:sz w:val="22"/>
          <w:szCs w:val="22"/>
        </w:rPr>
        <w:t xml:space="preserve"> also involves in prevention of oxidative stress and capturing superoxide and hydroxyl radicals by metallothionein (</w:t>
      </w:r>
      <w:proofErr w:type="spellStart"/>
      <w:r w:rsidRPr="008F1C27">
        <w:rPr>
          <w:sz w:val="22"/>
          <w:szCs w:val="22"/>
        </w:rPr>
        <w:t>Menezo</w:t>
      </w:r>
      <w:r w:rsidRPr="008F1C27">
        <w:rPr>
          <w:i/>
          <w:sz w:val="22"/>
          <w:szCs w:val="22"/>
        </w:rPr>
        <w:t>et</w:t>
      </w:r>
      <w:proofErr w:type="spellEnd"/>
      <w:r w:rsidRPr="008F1C27">
        <w:rPr>
          <w:i/>
          <w:sz w:val="22"/>
          <w:szCs w:val="22"/>
        </w:rPr>
        <w:t xml:space="preserve"> al. </w:t>
      </w:r>
      <w:r w:rsidRPr="008F1C27">
        <w:rPr>
          <w:sz w:val="22"/>
          <w:szCs w:val="22"/>
        </w:rPr>
        <w:t>2011).</w:t>
      </w:r>
      <w:r w:rsidRPr="008F1C27">
        <w:rPr>
          <w:bCs/>
          <w:sz w:val="22"/>
          <w:szCs w:val="22"/>
        </w:rPr>
        <w:t xml:space="preserve">The dietary nutrient enrichment such as zinc may trigger the production of several reproductive hormones, thus it helps the enhancement of maturation and sperm quality of </w:t>
      </w:r>
      <w:r w:rsidRPr="008F1C27">
        <w:rPr>
          <w:i/>
          <w:sz w:val="22"/>
          <w:szCs w:val="22"/>
        </w:rPr>
        <w:t>C. macrocephalus</w:t>
      </w:r>
      <w:r w:rsidRPr="008F1C27">
        <w:rPr>
          <w:bCs/>
          <w:sz w:val="22"/>
          <w:szCs w:val="22"/>
        </w:rPr>
        <w:t xml:space="preserve">. The objective of present study is to investigate the effect </w:t>
      </w:r>
      <w:proofErr w:type="spellStart"/>
      <w:r w:rsidRPr="008F1C27">
        <w:rPr>
          <w:bCs/>
          <w:sz w:val="22"/>
          <w:szCs w:val="22"/>
        </w:rPr>
        <w:t>ZnAA</w:t>
      </w:r>
      <w:proofErr w:type="spellEnd"/>
      <w:r w:rsidRPr="008F1C27">
        <w:rPr>
          <w:bCs/>
          <w:sz w:val="22"/>
          <w:szCs w:val="22"/>
        </w:rPr>
        <w:t xml:space="preserve"> diet to the maturation and sperm quality in male </w:t>
      </w:r>
      <w:proofErr w:type="spellStart"/>
      <w:r w:rsidRPr="008F1C27">
        <w:rPr>
          <w:bCs/>
          <w:sz w:val="22"/>
          <w:szCs w:val="22"/>
        </w:rPr>
        <w:t>broodstock</w:t>
      </w:r>
      <w:proofErr w:type="spellEnd"/>
      <w:r w:rsidRPr="008F1C27">
        <w:rPr>
          <w:bCs/>
          <w:sz w:val="22"/>
          <w:szCs w:val="22"/>
        </w:rPr>
        <w:t xml:space="preserve"> of the </w:t>
      </w:r>
      <w:r w:rsidRPr="008F1C27">
        <w:rPr>
          <w:bCs/>
          <w:i/>
          <w:sz w:val="22"/>
          <w:szCs w:val="22"/>
        </w:rPr>
        <w:t>C. macrocephalus.</w:t>
      </w:r>
    </w:p>
    <w:p w:rsidR="0098773A" w:rsidRPr="008F1C27" w:rsidRDefault="0098773A" w:rsidP="0098773A">
      <w:pPr>
        <w:jc w:val="both"/>
        <w:rPr>
          <w:sz w:val="22"/>
          <w:szCs w:val="22"/>
        </w:rPr>
      </w:pPr>
    </w:p>
    <w:p w:rsidR="00B7686C" w:rsidRPr="008F1C27" w:rsidRDefault="00B7686C" w:rsidP="0098773A">
      <w:pPr>
        <w:rPr>
          <w:b/>
          <w:bCs/>
          <w:sz w:val="22"/>
          <w:szCs w:val="22"/>
          <w:lang w:val="en-US"/>
        </w:rPr>
      </w:pPr>
    </w:p>
    <w:p w:rsidR="0098773A" w:rsidRPr="008F1C27" w:rsidRDefault="0098773A" w:rsidP="0098773A">
      <w:pPr>
        <w:rPr>
          <w:b/>
          <w:bCs/>
          <w:sz w:val="22"/>
          <w:szCs w:val="22"/>
          <w:lang w:val="en-US"/>
        </w:rPr>
      </w:pPr>
      <w:r w:rsidRPr="008F1C27">
        <w:rPr>
          <w:b/>
          <w:bCs/>
          <w:sz w:val="22"/>
          <w:szCs w:val="22"/>
          <w:lang w:val="en-US"/>
        </w:rPr>
        <w:t>Materials and Methods</w:t>
      </w:r>
    </w:p>
    <w:p w:rsidR="0098773A" w:rsidRPr="008F1C27" w:rsidRDefault="0098773A" w:rsidP="0098773A">
      <w:pPr>
        <w:rPr>
          <w:b/>
          <w:bCs/>
          <w:sz w:val="22"/>
          <w:szCs w:val="22"/>
          <w:lang w:val="en-US"/>
        </w:rPr>
      </w:pPr>
    </w:p>
    <w:p w:rsidR="0098773A" w:rsidRPr="008F1C27" w:rsidRDefault="0098773A" w:rsidP="0098773A">
      <w:pPr>
        <w:jc w:val="both"/>
        <w:rPr>
          <w:sz w:val="22"/>
          <w:szCs w:val="22"/>
          <w:lang w:val="en-US"/>
        </w:rPr>
      </w:pPr>
      <w:proofErr w:type="spellStart"/>
      <w:r w:rsidRPr="008F1C27">
        <w:rPr>
          <w:bCs/>
          <w:sz w:val="22"/>
          <w:szCs w:val="22"/>
          <w:lang w:val="en-US"/>
        </w:rPr>
        <w:t>Theexperiment</w:t>
      </w:r>
      <w:proofErr w:type="spellEnd"/>
      <w:r w:rsidRPr="008F1C27">
        <w:rPr>
          <w:bCs/>
          <w:sz w:val="22"/>
          <w:szCs w:val="22"/>
          <w:lang w:val="en-US"/>
        </w:rPr>
        <w:t xml:space="preserve"> trial was carried out at the Laboratory of Nutrition </w:t>
      </w:r>
      <w:proofErr w:type="spellStart"/>
      <w:r w:rsidRPr="008F1C27">
        <w:rPr>
          <w:bCs/>
          <w:sz w:val="22"/>
          <w:szCs w:val="22"/>
          <w:lang w:val="en-US"/>
        </w:rPr>
        <w:t>andAquafeed</w:t>
      </w:r>
      <w:proofErr w:type="spellEnd"/>
      <w:r w:rsidRPr="008F1C27">
        <w:rPr>
          <w:bCs/>
          <w:sz w:val="22"/>
          <w:szCs w:val="22"/>
          <w:lang w:val="en-US"/>
        </w:rPr>
        <w:t xml:space="preserve">, Department of Aquaculture, Faculty of Fisheries, </w:t>
      </w:r>
      <w:proofErr w:type="spellStart"/>
      <w:r w:rsidRPr="008F1C27">
        <w:rPr>
          <w:bCs/>
          <w:sz w:val="22"/>
          <w:szCs w:val="22"/>
          <w:lang w:val="en-US"/>
        </w:rPr>
        <w:t>KasetsartUniversity</w:t>
      </w:r>
      <w:proofErr w:type="spellEnd"/>
      <w:r w:rsidRPr="008F1C27">
        <w:rPr>
          <w:bCs/>
          <w:sz w:val="22"/>
          <w:szCs w:val="22"/>
          <w:lang w:val="en-US"/>
        </w:rPr>
        <w:t xml:space="preserve">, Bangkok, Thailand. A total of 45 males were fed at a level equivalent to 3% of their bodyweight. </w:t>
      </w:r>
      <w:proofErr w:type="spellStart"/>
      <w:r w:rsidRPr="008F1C27">
        <w:rPr>
          <w:bCs/>
          <w:sz w:val="22"/>
          <w:szCs w:val="22"/>
          <w:lang w:val="en-US"/>
        </w:rPr>
        <w:t>Thefishes</w:t>
      </w:r>
      <w:proofErr w:type="spellEnd"/>
      <w:r w:rsidRPr="008F1C27">
        <w:rPr>
          <w:bCs/>
          <w:sz w:val="22"/>
          <w:szCs w:val="22"/>
          <w:lang w:val="en-US"/>
        </w:rPr>
        <w:t xml:space="preserve"> were randomly distributed in three treatments with three replicates. The </w:t>
      </w:r>
      <w:proofErr w:type="spellStart"/>
      <w:r w:rsidRPr="008F1C27">
        <w:rPr>
          <w:bCs/>
          <w:sz w:val="22"/>
          <w:szCs w:val="22"/>
          <w:lang w:val="en-US"/>
        </w:rPr>
        <w:t>durationof</w:t>
      </w:r>
      <w:proofErr w:type="spellEnd"/>
      <w:r w:rsidRPr="008F1C27">
        <w:rPr>
          <w:bCs/>
          <w:sz w:val="22"/>
          <w:szCs w:val="22"/>
          <w:lang w:val="en-US"/>
        </w:rPr>
        <w:t xml:space="preserve"> experiment was for eight </w:t>
      </w:r>
      <w:proofErr w:type="spellStart"/>
      <w:r w:rsidRPr="008F1C27">
        <w:rPr>
          <w:bCs/>
          <w:sz w:val="22"/>
          <w:szCs w:val="22"/>
          <w:lang w:val="en-US"/>
        </w:rPr>
        <w:t>weeks.Thediet</w:t>
      </w:r>
      <w:proofErr w:type="spellEnd"/>
      <w:r w:rsidRPr="008F1C27">
        <w:rPr>
          <w:bCs/>
          <w:sz w:val="22"/>
          <w:szCs w:val="22"/>
          <w:lang w:val="en-US"/>
        </w:rPr>
        <w:t xml:space="preserve"> consisted of 37% crude protein and 9.3% crude lipid. The diet was contained </w:t>
      </w:r>
      <w:r w:rsidRPr="008F1C27">
        <w:rPr>
          <w:bCs/>
          <w:sz w:val="22"/>
          <w:szCs w:val="22"/>
        </w:rPr>
        <w:t xml:space="preserve">with </w:t>
      </w:r>
      <w:proofErr w:type="spellStart"/>
      <w:r w:rsidRPr="008F1C27">
        <w:rPr>
          <w:bCs/>
          <w:sz w:val="22"/>
          <w:szCs w:val="22"/>
        </w:rPr>
        <w:t>ZnAA</w:t>
      </w:r>
      <w:proofErr w:type="spellEnd"/>
      <w:r w:rsidRPr="008F1C27">
        <w:rPr>
          <w:bCs/>
          <w:sz w:val="22"/>
          <w:szCs w:val="22"/>
        </w:rPr>
        <w:t xml:space="preserve"> (</w:t>
      </w:r>
      <w:proofErr w:type="spellStart"/>
      <w:r w:rsidRPr="008F1C27">
        <w:rPr>
          <w:bCs/>
          <w:sz w:val="22"/>
          <w:szCs w:val="22"/>
        </w:rPr>
        <w:t>Zinpro</w:t>
      </w:r>
      <w:proofErr w:type="spellEnd"/>
      <w:r w:rsidRPr="008F1C27">
        <w:rPr>
          <w:bCs/>
          <w:sz w:val="22"/>
          <w:szCs w:val="22"/>
        </w:rPr>
        <w:t xml:space="preserve"> Corporation, Eden Prairie, MN USA) concentrations at 0 (control), 100ppm (ZnAA1) and 200ppm (ZnAA2) g/kg in the diet (modified Clearwater </w:t>
      </w:r>
      <w:r w:rsidRPr="008F1C27">
        <w:rPr>
          <w:bCs/>
          <w:i/>
          <w:sz w:val="22"/>
          <w:szCs w:val="22"/>
        </w:rPr>
        <w:t>et al.</w:t>
      </w:r>
      <w:r w:rsidRPr="008F1C27">
        <w:rPr>
          <w:bCs/>
          <w:sz w:val="22"/>
          <w:szCs w:val="22"/>
        </w:rPr>
        <w:t xml:space="preserve"> 2002).</w:t>
      </w:r>
      <w:r w:rsidRPr="008F1C27">
        <w:rPr>
          <w:sz w:val="22"/>
          <w:szCs w:val="22"/>
        </w:rPr>
        <w:t xml:space="preserve">Next, the </w:t>
      </w:r>
      <w:proofErr w:type="spellStart"/>
      <w:r w:rsidRPr="008F1C27">
        <w:rPr>
          <w:sz w:val="22"/>
          <w:szCs w:val="22"/>
        </w:rPr>
        <w:t>broodstock</w:t>
      </w:r>
      <w:proofErr w:type="spellEnd"/>
      <w:r w:rsidRPr="008F1C27">
        <w:rPr>
          <w:sz w:val="22"/>
          <w:szCs w:val="22"/>
        </w:rPr>
        <w:t xml:space="preserve"> was weighted </w:t>
      </w:r>
      <w:r w:rsidRPr="008F1C27">
        <w:rPr>
          <w:sz w:val="22"/>
          <w:szCs w:val="22"/>
        </w:rPr>
        <w:lastRenderedPageBreak/>
        <w:t xml:space="preserve">before the final sampling to determine the growth performance. For histology analysis, </w:t>
      </w:r>
      <w:r w:rsidRPr="008F1C27">
        <w:rPr>
          <w:sz w:val="22"/>
          <w:szCs w:val="22"/>
          <w:lang w:val="en-US"/>
        </w:rPr>
        <w:t xml:space="preserve">it was done in accordance to Drury and Wallington </w:t>
      </w:r>
      <w:r w:rsidRPr="008F1C27">
        <w:rPr>
          <w:sz w:val="22"/>
          <w:szCs w:val="22"/>
        </w:rPr>
        <w:t>(1967).Gonadosomatic Index was determined according to King, (1995). Eosin-</w:t>
      </w:r>
      <w:proofErr w:type="spellStart"/>
      <w:r w:rsidRPr="008F1C27">
        <w:rPr>
          <w:sz w:val="22"/>
          <w:szCs w:val="22"/>
        </w:rPr>
        <w:t>nigrosin</w:t>
      </w:r>
      <w:proofErr w:type="spellEnd"/>
      <w:r w:rsidRPr="008F1C27">
        <w:rPr>
          <w:sz w:val="22"/>
          <w:szCs w:val="22"/>
        </w:rPr>
        <w:t xml:space="preserve"> stained semen smears were done for live sperm rate, sperm concentration and sperm abnormality. Sperm kinetic </w:t>
      </w:r>
      <w:proofErr w:type="spellStart"/>
      <w:r w:rsidRPr="008F1C27">
        <w:rPr>
          <w:sz w:val="22"/>
          <w:szCs w:val="22"/>
        </w:rPr>
        <w:t>characteristicwere</w:t>
      </w:r>
      <w:proofErr w:type="spellEnd"/>
      <w:r w:rsidRPr="008F1C27">
        <w:rPr>
          <w:sz w:val="22"/>
          <w:szCs w:val="22"/>
        </w:rPr>
        <w:t xml:space="preserve"> done by Computer-Assisted Sperm Analysis (</w:t>
      </w:r>
      <w:proofErr w:type="spellStart"/>
      <w:r w:rsidRPr="008F1C27">
        <w:rPr>
          <w:sz w:val="22"/>
          <w:szCs w:val="22"/>
        </w:rPr>
        <w:t>Katebi</w:t>
      </w:r>
      <w:r w:rsidRPr="008F1C27">
        <w:rPr>
          <w:i/>
          <w:sz w:val="22"/>
          <w:szCs w:val="22"/>
        </w:rPr>
        <w:t>et</w:t>
      </w:r>
      <w:proofErr w:type="spellEnd"/>
      <w:r w:rsidRPr="008F1C27">
        <w:rPr>
          <w:i/>
          <w:sz w:val="22"/>
          <w:szCs w:val="22"/>
        </w:rPr>
        <w:t xml:space="preserve"> al.</w:t>
      </w:r>
      <w:r w:rsidRPr="008F1C27">
        <w:rPr>
          <w:sz w:val="22"/>
          <w:szCs w:val="22"/>
        </w:rPr>
        <w:t xml:space="preserve"> 2005, </w:t>
      </w:r>
      <w:proofErr w:type="spellStart"/>
      <w:r w:rsidRPr="008F1C27">
        <w:rPr>
          <w:sz w:val="22"/>
          <w:szCs w:val="22"/>
        </w:rPr>
        <w:t>Klimowicz</w:t>
      </w:r>
      <w:r w:rsidRPr="008F1C27">
        <w:rPr>
          <w:i/>
          <w:sz w:val="22"/>
          <w:szCs w:val="22"/>
        </w:rPr>
        <w:t>et</w:t>
      </w:r>
      <w:proofErr w:type="spellEnd"/>
      <w:r w:rsidRPr="008F1C27">
        <w:rPr>
          <w:i/>
          <w:sz w:val="22"/>
          <w:szCs w:val="22"/>
        </w:rPr>
        <w:t xml:space="preserve"> al.</w:t>
      </w:r>
      <w:r w:rsidRPr="008F1C27">
        <w:rPr>
          <w:sz w:val="22"/>
          <w:szCs w:val="22"/>
        </w:rPr>
        <w:t xml:space="preserve"> 2008). Finally, s</w:t>
      </w:r>
      <w:proofErr w:type="spellStart"/>
      <w:r w:rsidRPr="008F1C27">
        <w:rPr>
          <w:sz w:val="22"/>
          <w:szCs w:val="22"/>
          <w:lang w:val="en-US"/>
        </w:rPr>
        <w:t>tatistical</w:t>
      </w:r>
      <w:proofErr w:type="spellEnd"/>
      <w:r w:rsidRPr="008F1C27">
        <w:rPr>
          <w:sz w:val="22"/>
          <w:szCs w:val="22"/>
          <w:lang w:val="en-US"/>
        </w:rPr>
        <w:t xml:space="preserve"> analysis was </w:t>
      </w:r>
      <w:proofErr w:type="spellStart"/>
      <w:r w:rsidRPr="008F1C27">
        <w:rPr>
          <w:sz w:val="22"/>
          <w:szCs w:val="22"/>
          <w:lang w:val="en-US"/>
        </w:rPr>
        <w:t>analysed</w:t>
      </w:r>
      <w:proofErr w:type="spellEnd"/>
      <w:r w:rsidRPr="008F1C27">
        <w:rPr>
          <w:sz w:val="22"/>
          <w:szCs w:val="22"/>
          <w:lang w:val="en-US"/>
        </w:rPr>
        <w:t xml:space="preserve"> by one-way ANOVA (analysis of variance) and followed by the Duncan test. The means comparisons significance was tested at P&lt;0.05.</w:t>
      </w:r>
    </w:p>
    <w:p w:rsidR="0098773A" w:rsidRPr="008F1C27" w:rsidRDefault="0098773A" w:rsidP="0098773A">
      <w:pPr>
        <w:jc w:val="both"/>
        <w:rPr>
          <w:sz w:val="22"/>
          <w:szCs w:val="22"/>
        </w:rPr>
      </w:pPr>
    </w:p>
    <w:p w:rsidR="0098773A" w:rsidRPr="008F1C27" w:rsidRDefault="0098773A" w:rsidP="0098773A">
      <w:pPr>
        <w:rPr>
          <w:b/>
          <w:bCs/>
          <w:sz w:val="22"/>
          <w:szCs w:val="22"/>
          <w:lang w:val="en-US"/>
        </w:rPr>
      </w:pPr>
      <w:r w:rsidRPr="008F1C27">
        <w:rPr>
          <w:b/>
          <w:bCs/>
          <w:sz w:val="22"/>
          <w:szCs w:val="22"/>
          <w:lang w:val="en-US"/>
        </w:rPr>
        <w:t>Results and Discussion</w:t>
      </w:r>
    </w:p>
    <w:p w:rsidR="0098773A" w:rsidRPr="008F1C27" w:rsidRDefault="0098773A" w:rsidP="0098773A">
      <w:pPr>
        <w:rPr>
          <w:b/>
          <w:bCs/>
          <w:sz w:val="22"/>
          <w:szCs w:val="22"/>
          <w:lang w:val="en-US"/>
        </w:rPr>
      </w:pPr>
    </w:p>
    <w:p w:rsidR="0098773A" w:rsidRPr="008F1C27" w:rsidRDefault="0098773A" w:rsidP="0098773A">
      <w:pPr>
        <w:jc w:val="both"/>
        <w:rPr>
          <w:bCs/>
          <w:sz w:val="22"/>
          <w:szCs w:val="22"/>
        </w:rPr>
      </w:pPr>
      <w:proofErr w:type="spellStart"/>
      <w:r w:rsidRPr="008F1C27">
        <w:rPr>
          <w:bCs/>
          <w:sz w:val="22"/>
          <w:szCs w:val="22"/>
        </w:rPr>
        <w:t>ZnAA</w:t>
      </w:r>
      <w:proofErr w:type="spellEnd"/>
      <w:r w:rsidRPr="008F1C27">
        <w:rPr>
          <w:bCs/>
          <w:sz w:val="22"/>
          <w:szCs w:val="22"/>
        </w:rPr>
        <w:t xml:space="preserve"> concentrations in bone samples were significantly different between the treatments (p = 0.001) (Figure 1A, Table 1). According to Sa </w:t>
      </w:r>
      <w:r w:rsidRPr="008F1C27">
        <w:rPr>
          <w:bCs/>
          <w:i/>
          <w:sz w:val="22"/>
          <w:szCs w:val="22"/>
        </w:rPr>
        <w:t>et al.</w:t>
      </w:r>
      <w:r w:rsidRPr="008F1C27">
        <w:rPr>
          <w:bCs/>
          <w:sz w:val="22"/>
          <w:szCs w:val="22"/>
        </w:rPr>
        <w:t xml:space="preserve"> (2004), the role of zinc in the biology of bones is significance for bone growth. Zinc deficiencies will results to retardation because zinc stimulates bone formation (Sa </w:t>
      </w:r>
      <w:r w:rsidRPr="008F1C27">
        <w:rPr>
          <w:bCs/>
          <w:i/>
          <w:sz w:val="22"/>
          <w:szCs w:val="22"/>
        </w:rPr>
        <w:t>et al.</w:t>
      </w:r>
      <w:r w:rsidRPr="008F1C27">
        <w:rPr>
          <w:bCs/>
          <w:sz w:val="22"/>
          <w:szCs w:val="22"/>
        </w:rPr>
        <w:t xml:space="preserve"> 2004).</w:t>
      </w:r>
    </w:p>
    <w:p w:rsidR="0098773A" w:rsidRPr="008F1C27" w:rsidRDefault="0098773A" w:rsidP="0098773A">
      <w:pPr>
        <w:jc w:val="both"/>
        <w:rPr>
          <w:sz w:val="22"/>
          <w:szCs w:val="22"/>
        </w:rPr>
      </w:pPr>
    </w:p>
    <w:p w:rsidR="0098773A" w:rsidRPr="008F1C27" w:rsidRDefault="0098773A" w:rsidP="0098773A">
      <w:pPr>
        <w:jc w:val="center"/>
        <w:rPr>
          <w:b/>
          <w:sz w:val="22"/>
          <w:szCs w:val="22"/>
        </w:rPr>
      </w:pPr>
      <w:r w:rsidRPr="008F1C27">
        <w:rPr>
          <w:b/>
          <w:sz w:val="22"/>
          <w:szCs w:val="22"/>
        </w:rPr>
        <w:t xml:space="preserve">Table 1:ZnAA concentration in serum, meat, liver, bone, sperm and testis with different levels of </w:t>
      </w:r>
      <w:proofErr w:type="spellStart"/>
      <w:r w:rsidRPr="008F1C27">
        <w:rPr>
          <w:b/>
          <w:sz w:val="22"/>
          <w:szCs w:val="22"/>
        </w:rPr>
        <w:t>ZnAA</w:t>
      </w:r>
      <w:proofErr w:type="spellEnd"/>
      <w:r w:rsidRPr="008F1C27">
        <w:rPr>
          <w:b/>
          <w:sz w:val="22"/>
          <w:szCs w:val="22"/>
        </w:rPr>
        <w:t xml:space="preserve"> (mean ± SD)</w:t>
      </w:r>
    </w:p>
    <w:tbl>
      <w:tblPr>
        <w:tblStyle w:val="TableGrid"/>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1581"/>
        <w:gridCol w:w="1580"/>
        <w:gridCol w:w="1520"/>
        <w:gridCol w:w="1063"/>
      </w:tblGrid>
      <w:tr w:rsidR="0098773A" w:rsidRPr="008F1C27" w:rsidTr="00902499">
        <w:tc>
          <w:tcPr>
            <w:tcW w:w="1579" w:type="pct"/>
            <w:tcBorders>
              <w:top w:val="single" w:sz="4" w:space="0" w:color="auto"/>
              <w:bottom w:val="single" w:sz="4" w:space="0" w:color="auto"/>
            </w:tcBorders>
          </w:tcPr>
          <w:p w:rsidR="0098773A" w:rsidRPr="008F1C27" w:rsidRDefault="0098773A" w:rsidP="00902499">
            <w:pPr>
              <w:jc w:val="both"/>
            </w:pPr>
            <w:r w:rsidRPr="008F1C27">
              <w:t>Treatment</w:t>
            </w:r>
          </w:p>
        </w:tc>
        <w:tc>
          <w:tcPr>
            <w:tcW w:w="941" w:type="pct"/>
            <w:tcBorders>
              <w:top w:val="single" w:sz="4" w:space="0" w:color="auto"/>
              <w:bottom w:val="single" w:sz="4" w:space="0" w:color="auto"/>
            </w:tcBorders>
          </w:tcPr>
          <w:p w:rsidR="0098773A" w:rsidRPr="008F1C27" w:rsidRDefault="0098773A" w:rsidP="00902499">
            <w:pPr>
              <w:jc w:val="both"/>
            </w:pPr>
            <w:r w:rsidRPr="008F1C27">
              <w:t>Control</w:t>
            </w:r>
          </w:p>
        </w:tc>
        <w:tc>
          <w:tcPr>
            <w:tcW w:w="941" w:type="pct"/>
            <w:tcBorders>
              <w:top w:val="single" w:sz="4" w:space="0" w:color="auto"/>
              <w:bottom w:val="single" w:sz="4" w:space="0" w:color="auto"/>
            </w:tcBorders>
          </w:tcPr>
          <w:p w:rsidR="0098773A" w:rsidRPr="008F1C27" w:rsidRDefault="0098773A" w:rsidP="00902499">
            <w:pPr>
              <w:jc w:val="both"/>
            </w:pPr>
            <w:r w:rsidRPr="008F1C27">
              <w:t>ZnAA1</w:t>
            </w:r>
          </w:p>
        </w:tc>
        <w:tc>
          <w:tcPr>
            <w:tcW w:w="905" w:type="pct"/>
            <w:tcBorders>
              <w:top w:val="single" w:sz="4" w:space="0" w:color="auto"/>
              <w:bottom w:val="single" w:sz="4" w:space="0" w:color="auto"/>
            </w:tcBorders>
          </w:tcPr>
          <w:p w:rsidR="0098773A" w:rsidRPr="008F1C27" w:rsidRDefault="0098773A" w:rsidP="00902499">
            <w:pPr>
              <w:jc w:val="both"/>
            </w:pPr>
            <w:r w:rsidRPr="008F1C27">
              <w:t>ZnAA2</w:t>
            </w:r>
          </w:p>
        </w:tc>
        <w:tc>
          <w:tcPr>
            <w:tcW w:w="633" w:type="pct"/>
            <w:tcBorders>
              <w:top w:val="single" w:sz="4" w:space="0" w:color="auto"/>
              <w:bottom w:val="single" w:sz="4" w:space="0" w:color="auto"/>
            </w:tcBorders>
          </w:tcPr>
          <w:p w:rsidR="0098773A" w:rsidRPr="008F1C27" w:rsidRDefault="0098773A" w:rsidP="00902499">
            <w:pPr>
              <w:jc w:val="both"/>
            </w:pPr>
            <w:r w:rsidRPr="008F1C27">
              <w:rPr>
                <w:i/>
              </w:rPr>
              <w:t>P</w:t>
            </w:r>
            <w:r w:rsidRPr="008F1C27">
              <w:t xml:space="preserve"> value</w:t>
            </w:r>
          </w:p>
        </w:tc>
      </w:tr>
      <w:tr w:rsidR="0098773A" w:rsidRPr="008F1C27" w:rsidTr="00902499">
        <w:tc>
          <w:tcPr>
            <w:tcW w:w="1579" w:type="pct"/>
            <w:tcBorders>
              <w:top w:val="single" w:sz="4" w:space="0" w:color="auto"/>
            </w:tcBorders>
          </w:tcPr>
          <w:p w:rsidR="0098773A" w:rsidRPr="008F1C27" w:rsidRDefault="0098773A" w:rsidP="00902499">
            <w:pPr>
              <w:jc w:val="both"/>
            </w:pPr>
            <w:r w:rsidRPr="008F1C27">
              <w:t>Serum (ppm)</w:t>
            </w:r>
          </w:p>
        </w:tc>
        <w:tc>
          <w:tcPr>
            <w:tcW w:w="941" w:type="pct"/>
            <w:tcBorders>
              <w:top w:val="single" w:sz="4" w:space="0" w:color="auto"/>
            </w:tcBorders>
          </w:tcPr>
          <w:p w:rsidR="0098773A" w:rsidRPr="008F1C27" w:rsidRDefault="0098773A" w:rsidP="00902499">
            <w:pPr>
              <w:jc w:val="both"/>
            </w:pPr>
            <w:r w:rsidRPr="008F1C27">
              <w:t>5.67 ± 1.5</w:t>
            </w:r>
          </w:p>
        </w:tc>
        <w:tc>
          <w:tcPr>
            <w:tcW w:w="941" w:type="pct"/>
            <w:tcBorders>
              <w:top w:val="single" w:sz="4" w:space="0" w:color="auto"/>
            </w:tcBorders>
          </w:tcPr>
          <w:p w:rsidR="0098773A" w:rsidRPr="008F1C27" w:rsidRDefault="0098773A" w:rsidP="00902499">
            <w:pPr>
              <w:jc w:val="both"/>
            </w:pPr>
            <w:r w:rsidRPr="008F1C27">
              <w:t>6.05 ± 1.8</w:t>
            </w:r>
          </w:p>
        </w:tc>
        <w:tc>
          <w:tcPr>
            <w:tcW w:w="905" w:type="pct"/>
            <w:tcBorders>
              <w:top w:val="single" w:sz="4" w:space="0" w:color="auto"/>
            </w:tcBorders>
          </w:tcPr>
          <w:p w:rsidR="0098773A" w:rsidRPr="008F1C27" w:rsidRDefault="0098773A" w:rsidP="00902499">
            <w:pPr>
              <w:jc w:val="both"/>
            </w:pPr>
            <w:r w:rsidRPr="008F1C27">
              <w:t>5.34 ± 1.0</w:t>
            </w:r>
          </w:p>
        </w:tc>
        <w:tc>
          <w:tcPr>
            <w:tcW w:w="633" w:type="pct"/>
            <w:tcBorders>
              <w:top w:val="single" w:sz="4" w:space="0" w:color="auto"/>
            </w:tcBorders>
          </w:tcPr>
          <w:p w:rsidR="0098773A" w:rsidRPr="008F1C27" w:rsidRDefault="0098773A" w:rsidP="00902499">
            <w:pPr>
              <w:jc w:val="both"/>
            </w:pPr>
            <w:r w:rsidRPr="008F1C27">
              <w:t>0.7</w:t>
            </w:r>
          </w:p>
        </w:tc>
      </w:tr>
      <w:tr w:rsidR="0098773A" w:rsidRPr="008F1C27" w:rsidTr="00902499">
        <w:tc>
          <w:tcPr>
            <w:tcW w:w="1579" w:type="pct"/>
          </w:tcPr>
          <w:p w:rsidR="0098773A" w:rsidRPr="008F1C27" w:rsidRDefault="0098773A" w:rsidP="00902499">
            <w:pPr>
              <w:jc w:val="both"/>
            </w:pPr>
            <w:r w:rsidRPr="008F1C27">
              <w:t>Meat (ppm)</w:t>
            </w:r>
          </w:p>
        </w:tc>
        <w:tc>
          <w:tcPr>
            <w:tcW w:w="941" w:type="pct"/>
          </w:tcPr>
          <w:p w:rsidR="0098773A" w:rsidRPr="008F1C27" w:rsidRDefault="0098773A" w:rsidP="00902499">
            <w:pPr>
              <w:jc w:val="both"/>
            </w:pPr>
            <w:r w:rsidRPr="008F1C27">
              <w:t>5.05 ± 0.7</w:t>
            </w:r>
          </w:p>
        </w:tc>
        <w:tc>
          <w:tcPr>
            <w:tcW w:w="941" w:type="pct"/>
          </w:tcPr>
          <w:p w:rsidR="0098773A" w:rsidRPr="008F1C27" w:rsidRDefault="0098773A" w:rsidP="00902499">
            <w:pPr>
              <w:jc w:val="both"/>
            </w:pPr>
            <w:r w:rsidRPr="008F1C27">
              <w:t>6.07 ± 1.0</w:t>
            </w:r>
          </w:p>
        </w:tc>
        <w:tc>
          <w:tcPr>
            <w:tcW w:w="905" w:type="pct"/>
          </w:tcPr>
          <w:p w:rsidR="0098773A" w:rsidRPr="008F1C27" w:rsidRDefault="0098773A" w:rsidP="00902499">
            <w:pPr>
              <w:jc w:val="both"/>
            </w:pPr>
            <w:r w:rsidRPr="008F1C27">
              <w:t>4.79 ± 0.4</w:t>
            </w:r>
          </w:p>
        </w:tc>
        <w:tc>
          <w:tcPr>
            <w:tcW w:w="633" w:type="pct"/>
          </w:tcPr>
          <w:p w:rsidR="0098773A" w:rsidRPr="008F1C27" w:rsidRDefault="0098773A" w:rsidP="00902499">
            <w:pPr>
              <w:jc w:val="both"/>
            </w:pPr>
            <w:r w:rsidRPr="008F1C27">
              <w:t>0.7</w:t>
            </w:r>
          </w:p>
        </w:tc>
      </w:tr>
      <w:tr w:rsidR="0098773A" w:rsidRPr="008F1C27" w:rsidTr="00902499">
        <w:tc>
          <w:tcPr>
            <w:tcW w:w="1579" w:type="pct"/>
          </w:tcPr>
          <w:p w:rsidR="0098773A" w:rsidRPr="008F1C27" w:rsidRDefault="0098773A" w:rsidP="00902499">
            <w:pPr>
              <w:jc w:val="both"/>
            </w:pPr>
            <w:r w:rsidRPr="008F1C27">
              <w:t>Liver (ppm)</w:t>
            </w:r>
          </w:p>
        </w:tc>
        <w:tc>
          <w:tcPr>
            <w:tcW w:w="941" w:type="pct"/>
          </w:tcPr>
          <w:p w:rsidR="0098773A" w:rsidRPr="008F1C27" w:rsidRDefault="0098773A" w:rsidP="00902499">
            <w:pPr>
              <w:jc w:val="both"/>
            </w:pPr>
            <w:r w:rsidRPr="008F1C27">
              <w:t>19.06 ± 1.8</w:t>
            </w:r>
          </w:p>
        </w:tc>
        <w:tc>
          <w:tcPr>
            <w:tcW w:w="941" w:type="pct"/>
          </w:tcPr>
          <w:p w:rsidR="0098773A" w:rsidRPr="008F1C27" w:rsidRDefault="0098773A" w:rsidP="00902499">
            <w:pPr>
              <w:jc w:val="both"/>
            </w:pPr>
            <w:r w:rsidRPr="008F1C27">
              <w:t>19.62 ± 2.6</w:t>
            </w:r>
          </w:p>
        </w:tc>
        <w:tc>
          <w:tcPr>
            <w:tcW w:w="905" w:type="pct"/>
          </w:tcPr>
          <w:p w:rsidR="0098773A" w:rsidRPr="008F1C27" w:rsidRDefault="0098773A" w:rsidP="00902499">
            <w:pPr>
              <w:jc w:val="both"/>
            </w:pPr>
            <w:r w:rsidRPr="008F1C27">
              <w:t>17.89 ± 0.9</w:t>
            </w:r>
          </w:p>
        </w:tc>
        <w:tc>
          <w:tcPr>
            <w:tcW w:w="633" w:type="pct"/>
          </w:tcPr>
          <w:p w:rsidR="0098773A" w:rsidRPr="008F1C27" w:rsidRDefault="0098773A" w:rsidP="00902499">
            <w:pPr>
              <w:jc w:val="both"/>
            </w:pPr>
            <w:r w:rsidRPr="008F1C27">
              <w:t>0.3</w:t>
            </w:r>
          </w:p>
        </w:tc>
      </w:tr>
      <w:tr w:rsidR="0098773A" w:rsidRPr="008F1C27" w:rsidTr="00902499">
        <w:tc>
          <w:tcPr>
            <w:tcW w:w="1579" w:type="pct"/>
          </w:tcPr>
          <w:p w:rsidR="0098773A" w:rsidRPr="008F1C27" w:rsidRDefault="0098773A" w:rsidP="00902499">
            <w:pPr>
              <w:jc w:val="both"/>
            </w:pPr>
            <w:r w:rsidRPr="008F1C27">
              <w:t>Bone (ppm)</w:t>
            </w:r>
          </w:p>
        </w:tc>
        <w:tc>
          <w:tcPr>
            <w:tcW w:w="941" w:type="pct"/>
          </w:tcPr>
          <w:p w:rsidR="0098773A" w:rsidRPr="008F1C27" w:rsidRDefault="0098773A" w:rsidP="00902499">
            <w:pPr>
              <w:jc w:val="both"/>
            </w:pPr>
            <w:r w:rsidRPr="008F1C27">
              <w:t>29.10</w:t>
            </w:r>
            <w:r w:rsidRPr="008F1C27">
              <w:rPr>
                <w:vertAlign w:val="superscript"/>
              </w:rPr>
              <w:t xml:space="preserve"> b</w:t>
            </w:r>
            <w:r w:rsidRPr="008F1C27">
              <w:t xml:space="preserve"> ± 10.5</w:t>
            </w:r>
          </w:p>
        </w:tc>
        <w:tc>
          <w:tcPr>
            <w:tcW w:w="941" w:type="pct"/>
          </w:tcPr>
          <w:p w:rsidR="0098773A" w:rsidRPr="008F1C27" w:rsidRDefault="0098773A" w:rsidP="00902499">
            <w:pPr>
              <w:jc w:val="both"/>
            </w:pPr>
            <w:r w:rsidRPr="008F1C27">
              <w:t>50.88</w:t>
            </w:r>
            <w:r w:rsidRPr="008F1C27">
              <w:rPr>
                <w:vertAlign w:val="superscript"/>
              </w:rPr>
              <w:t xml:space="preserve"> a</w:t>
            </w:r>
            <w:r w:rsidRPr="008F1C27">
              <w:t xml:space="preserve"> ± 6.7</w:t>
            </w:r>
          </w:p>
        </w:tc>
        <w:tc>
          <w:tcPr>
            <w:tcW w:w="905" w:type="pct"/>
          </w:tcPr>
          <w:p w:rsidR="0098773A" w:rsidRPr="008F1C27" w:rsidRDefault="0098773A" w:rsidP="00902499">
            <w:pPr>
              <w:jc w:val="both"/>
            </w:pPr>
            <w:r w:rsidRPr="008F1C27">
              <w:t>50.01</w:t>
            </w:r>
            <w:r w:rsidRPr="008F1C27">
              <w:rPr>
                <w:vertAlign w:val="superscript"/>
              </w:rPr>
              <w:t xml:space="preserve"> a</w:t>
            </w:r>
            <w:r w:rsidRPr="008F1C27">
              <w:t xml:space="preserve"> ± 7.1</w:t>
            </w:r>
          </w:p>
        </w:tc>
        <w:tc>
          <w:tcPr>
            <w:tcW w:w="633" w:type="pct"/>
          </w:tcPr>
          <w:p w:rsidR="0098773A" w:rsidRPr="008F1C27" w:rsidRDefault="0098773A" w:rsidP="00902499">
            <w:pPr>
              <w:jc w:val="both"/>
            </w:pPr>
            <w:r w:rsidRPr="008F1C27">
              <w:t>0.001</w:t>
            </w:r>
          </w:p>
        </w:tc>
      </w:tr>
      <w:tr w:rsidR="0098773A" w:rsidRPr="008F1C27" w:rsidTr="00902499">
        <w:tc>
          <w:tcPr>
            <w:tcW w:w="1579" w:type="pct"/>
            <w:tcBorders>
              <w:bottom w:val="single" w:sz="4" w:space="0" w:color="auto"/>
            </w:tcBorders>
          </w:tcPr>
          <w:p w:rsidR="0098773A" w:rsidRPr="008F1C27" w:rsidRDefault="0098773A" w:rsidP="00902499">
            <w:pPr>
              <w:jc w:val="both"/>
            </w:pPr>
            <w:r w:rsidRPr="008F1C27">
              <w:t>Sperm (ppm)</w:t>
            </w:r>
          </w:p>
        </w:tc>
        <w:tc>
          <w:tcPr>
            <w:tcW w:w="941" w:type="pct"/>
            <w:tcBorders>
              <w:bottom w:val="single" w:sz="4" w:space="0" w:color="auto"/>
            </w:tcBorders>
          </w:tcPr>
          <w:p w:rsidR="0098773A" w:rsidRPr="008F1C27" w:rsidRDefault="0098773A" w:rsidP="00902499">
            <w:pPr>
              <w:jc w:val="both"/>
            </w:pPr>
            <w:r w:rsidRPr="008F1C27">
              <w:t>10.48 ± 3.5</w:t>
            </w:r>
          </w:p>
        </w:tc>
        <w:tc>
          <w:tcPr>
            <w:tcW w:w="941" w:type="pct"/>
            <w:tcBorders>
              <w:bottom w:val="single" w:sz="4" w:space="0" w:color="auto"/>
            </w:tcBorders>
          </w:tcPr>
          <w:p w:rsidR="0098773A" w:rsidRPr="008F1C27" w:rsidRDefault="0098773A" w:rsidP="00902499">
            <w:pPr>
              <w:jc w:val="both"/>
            </w:pPr>
            <w:r w:rsidRPr="008F1C27">
              <w:t>8.17 ± 1.1</w:t>
            </w:r>
          </w:p>
        </w:tc>
        <w:tc>
          <w:tcPr>
            <w:tcW w:w="905" w:type="pct"/>
            <w:tcBorders>
              <w:bottom w:val="single" w:sz="4" w:space="0" w:color="auto"/>
            </w:tcBorders>
          </w:tcPr>
          <w:p w:rsidR="0098773A" w:rsidRPr="008F1C27" w:rsidRDefault="0098773A" w:rsidP="00902499">
            <w:pPr>
              <w:jc w:val="both"/>
            </w:pPr>
            <w:r w:rsidRPr="008F1C27">
              <w:t>14.09 ± 7.5</w:t>
            </w:r>
          </w:p>
        </w:tc>
        <w:tc>
          <w:tcPr>
            <w:tcW w:w="633" w:type="pct"/>
            <w:tcBorders>
              <w:bottom w:val="single" w:sz="4" w:space="0" w:color="auto"/>
            </w:tcBorders>
          </w:tcPr>
          <w:p w:rsidR="0098773A" w:rsidRPr="008F1C27" w:rsidRDefault="0098773A" w:rsidP="00902499">
            <w:pPr>
              <w:jc w:val="both"/>
            </w:pPr>
            <w:r w:rsidRPr="008F1C27">
              <w:t>0.1</w:t>
            </w:r>
          </w:p>
        </w:tc>
      </w:tr>
    </w:tbl>
    <w:p w:rsidR="0098773A" w:rsidRPr="008F1C27" w:rsidRDefault="0098773A" w:rsidP="0098773A">
      <w:pPr>
        <w:jc w:val="both"/>
        <w:rPr>
          <w:sz w:val="22"/>
          <w:szCs w:val="22"/>
        </w:rPr>
      </w:pPr>
      <w:proofErr w:type="spellStart"/>
      <w:r w:rsidRPr="008F1C27">
        <w:rPr>
          <w:sz w:val="22"/>
          <w:szCs w:val="22"/>
          <w:vertAlign w:val="superscript"/>
        </w:rPr>
        <w:t>a,b</w:t>
      </w:r>
      <w:proofErr w:type="spellEnd"/>
      <w:r w:rsidRPr="008F1C27">
        <w:rPr>
          <w:sz w:val="22"/>
          <w:szCs w:val="22"/>
        </w:rPr>
        <w:t xml:space="preserve"> Values with different superscripts in a row differ significantly (</w:t>
      </w:r>
      <w:r w:rsidRPr="008F1C27">
        <w:rPr>
          <w:i/>
          <w:iCs/>
          <w:sz w:val="22"/>
          <w:szCs w:val="22"/>
        </w:rPr>
        <w:t xml:space="preserve">P </w:t>
      </w:r>
      <w:r w:rsidRPr="008F1C27">
        <w:rPr>
          <w:sz w:val="22"/>
          <w:szCs w:val="22"/>
        </w:rPr>
        <w:t>&lt; 0.05).</w:t>
      </w:r>
    </w:p>
    <w:p w:rsidR="0098773A" w:rsidRPr="008F1C27" w:rsidRDefault="0098773A" w:rsidP="0098773A">
      <w:pPr>
        <w:jc w:val="both"/>
        <w:rPr>
          <w:sz w:val="22"/>
          <w:szCs w:val="22"/>
        </w:rPr>
      </w:pPr>
    </w:p>
    <w:p w:rsidR="0098773A" w:rsidRPr="008F1C27" w:rsidRDefault="0098773A" w:rsidP="0098773A">
      <w:pPr>
        <w:jc w:val="both"/>
        <w:rPr>
          <w:sz w:val="22"/>
          <w:szCs w:val="22"/>
        </w:rPr>
      </w:pPr>
      <w:proofErr w:type="spellStart"/>
      <w:r w:rsidRPr="008F1C27">
        <w:rPr>
          <w:sz w:val="22"/>
          <w:szCs w:val="22"/>
        </w:rPr>
        <w:t>ZnAAtrial</w:t>
      </w:r>
      <w:proofErr w:type="spellEnd"/>
      <w:r w:rsidRPr="008F1C27">
        <w:rPr>
          <w:sz w:val="22"/>
          <w:szCs w:val="22"/>
        </w:rPr>
        <w:t xml:space="preserve"> have no significant difference for the weight gain between treatments. On the contrary, </w:t>
      </w:r>
      <w:proofErr w:type="spellStart"/>
      <w:r w:rsidRPr="008F1C27">
        <w:rPr>
          <w:sz w:val="22"/>
          <w:szCs w:val="22"/>
        </w:rPr>
        <w:t>ZnAA</w:t>
      </w:r>
      <w:proofErr w:type="spellEnd"/>
      <w:r w:rsidRPr="008F1C27">
        <w:rPr>
          <w:sz w:val="22"/>
          <w:szCs w:val="22"/>
        </w:rPr>
        <w:t xml:space="preserve"> treatment increased the gonadosomatic index (p = 0.002) (Fig 1B, Table 2). Histological changes in testes during the </w:t>
      </w:r>
      <w:proofErr w:type="spellStart"/>
      <w:r w:rsidRPr="008F1C27">
        <w:rPr>
          <w:sz w:val="22"/>
          <w:szCs w:val="22"/>
        </w:rPr>
        <w:t>ZnAA</w:t>
      </w:r>
      <w:proofErr w:type="spellEnd"/>
      <w:r w:rsidRPr="008F1C27">
        <w:rPr>
          <w:sz w:val="22"/>
          <w:szCs w:val="22"/>
        </w:rPr>
        <w:t xml:space="preserve"> treatment were observed in </w:t>
      </w:r>
      <w:r w:rsidRPr="008F1C27">
        <w:rPr>
          <w:i/>
          <w:sz w:val="22"/>
          <w:szCs w:val="22"/>
        </w:rPr>
        <w:t>C. macrocephalus</w:t>
      </w:r>
      <w:r w:rsidRPr="008F1C27">
        <w:rPr>
          <w:sz w:val="22"/>
          <w:szCs w:val="22"/>
        </w:rPr>
        <w:t xml:space="preserve"> (Figure 2). In the present study, spermatozoa were found mainly in ZnAA1 and ZnAA2 treatment where the value was 38.8% (control), 60.7% (ZnAA1) and 70.7% (ZnAA2) (Table 2). Zinc regulates the synthesis and secretion of luteinizing hormone (GTH-II) and follicle stimulating hormone (GTH-I), gonadal differentiation, testicular growth, formation and maturation of spermatozoa, testicular steroidogenesis and fertilization (</w:t>
      </w:r>
      <w:proofErr w:type="spellStart"/>
      <w:r w:rsidRPr="008F1C27">
        <w:rPr>
          <w:sz w:val="22"/>
          <w:szCs w:val="22"/>
        </w:rPr>
        <w:t>Salgueiro</w:t>
      </w:r>
      <w:r w:rsidRPr="008F1C27">
        <w:rPr>
          <w:i/>
          <w:sz w:val="22"/>
          <w:szCs w:val="22"/>
        </w:rPr>
        <w:t>et</w:t>
      </w:r>
      <w:proofErr w:type="spellEnd"/>
      <w:r w:rsidRPr="008F1C27">
        <w:rPr>
          <w:i/>
          <w:sz w:val="22"/>
          <w:szCs w:val="22"/>
        </w:rPr>
        <w:t xml:space="preserve"> al.</w:t>
      </w:r>
      <w:r w:rsidRPr="008F1C27">
        <w:rPr>
          <w:sz w:val="22"/>
          <w:szCs w:val="22"/>
        </w:rPr>
        <w:t xml:space="preserve"> 2000, </w:t>
      </w:r>
      <w:proofErr w:type="spellStart"/>
      <w:r w:rsidRPr="008F1C27">
        <w:rPr>
          <w:sz w:val="22"/>
          <w:szCs w:val="22"/>
        </w:rPr>
        <w:t>Aizen</w:t>
      </w:r>
      <w:r w:rsidRPr="008F1C27">
        <w:rPr>
          <w:i/>
          <w:sz w:val="22"/>
          <w:szCs w:val="22"/>
        </w:rPr>
        <w:t>et</w:t>
      </w:r>
      <w:proofErr w:type="spellEnd"/>
      <w:r w:rsidRPr="008F1C27">
        <w:rPr>
          <w:i/>
          <w:sz w:val="22"/>
          <w:szCs w:val="22"/>
        </w:rPr>
        <w:t xml:space="preserve"> al.</w:t>
      </w:r>
      <w:r w:rsidRPr="008F1C27">
        <w:rPr>
          <w:sz w:val="22"/>
          <w:szCs w:val="22"/>
        </w:rPr>
        <w:t xml:space="preserve"> 2014). There was a significant decreased on sperm abnormality in </w:t>
      </w:r>
      <w:proofErr w:type="spellStart"/>
      <w:r w:rsidRPr="008F1C27">
        <w:rPr>
          <w:sz w:val="22"/>
          <w:szCs w:val="22"/>
        </w:rPr>
        <w:t>ZnAA</w:t>
      </w:r>
      <w:proofErr w:type="spellEnd"/>
      <w:r w:rsidRPr="008F1C27">
        <w:rPr>
          <w:sz w:val="22"/>
          <w:szCs w:val="22"/>
        </w:rPr>
        <w:t xml:space="preserve"> treatment male (p = 0.001) (Figure 3A, Table 3). There was also significant </w:t>
      </w:r>
      <w:proofErr w:type="spellStart"/>
      <w:r w:rsidRPr="008F1C27">
        <w:rPr>
          <w:sz w:val="22"/>
          <w:szCs w:val="22"/>
        </w:rPr>
        <w:t>increased</w:t>
      </w:r>
      <w:proofErr w:type="spellEnd"/>
      <w:r w:rsidRPr="008F1C27">
        <w:rPr>
          <w:sz w:val="22"/>
          <w:szCs w:val="22"/>
        </w:rPr>
        <w:t xml:space="preserve"> in the live sperm rate (p = 0.001) (Figure 3B, Table 3). Zinc in seminal plasma stabilizes the cell membrane and nuclear chromatin of sperm, thus reducing low quality sperm (</w:t>
      </w:r>
      <w:proofErr w:type="spellStart"/>
      <w:r w:rsidRPr="008F1C27">
        <w:rPr>
          <w:sz w:val="22"/>
          <w:szCs w:val="22"/>
        </w:rPr>
        <w:t>Colagar</w:t>
      </w:r>
      <w:r w:rsidRPr="008F1C27">
        <w:rPr>
          <w:i/>
          <w:sz w:val="22"/>
          <w:szCs w:val="22"/>
        </w:rPr>
        <w:t>et</w:t>
      </w:r>
      <w:proofErr w:type="spellEnd"/>
      <w:r w:rsidRPr="008F1C27">
        <w:rPr>
          <w:i/>
          <w:sz w:val="22"/>
          <w:szCs w:val="22"/>
        </w:rPr>
        <w:t xml:space="preserve"> al.</w:t>
      </w:r>
      <w:r w:rsidRPr="008F1C27">
        <w:rPr>
          <w:sz w:val="22"/>
          <w:szCs w:val="22"/>
        </w:rPr>
        <w:t xml:space="preserve"> 2009). Another mechanism for zinc to enhance the quality of sperm is related to its antioxidant role and its participation in the antioxidant defence system (</w:t>
      </w:r>
      <w:proofErr w:type="spellStart"/>
      <w:r w:rsidRPr="008F1C27">
        <w:rPr>
          <w:sz w:val="22"/>
          <w:szCs w:val="22"/>
        </w:rPr>
        <w:t>Salgueiro</w:t>
      </w:r>
      <w:r w:rsidRPr="008F1C27">
        <w:rPr>
          <w:i/>
          <w:sz w:val="22"/>
          <w:szCs w:val="22"/>
        </w:rPr>
        <w:t>et</w:t>
      </w:r>
      <w:proofErr w:type="spellEnd"/>
      <w:r w:rsidRPr="008F1C27">
        <w:rPr>
          <w:i/>
          <w:sz w:val="22"/>
          <w:szCs w:val="22"/>
        </w:rPr>
        <w:t xml:space="preserve"> al.</w:t>
      </w:r>
      <w:r w:rsidRPr="008F1C27">
        <w:rPr>
          <w:sz w:val="22"/>
          <w:szCs w:val="22"/>
        </w:rPr>
        <w:t>2000).</w:t>
      </w:r>
    </w:p>
    <w:p w:rsidR="0098773A" w:rsidRPr="008F1C27" w:rsidRDefault="0098773A" w:rsidP="0098773A">
      <w:pPr>
        <w:jc w:val="both"/>
        <w:rPr>
          <w:sz w:val="22"/>
          <w:szCs w:val="22"/>
        </w:rPr>
      </w:pPr>
    </w:p>
    <w:p w:rsidR="0098773A" w:rsidRPr="008F1C27" w:rsidRDefault="0098773A" w:rsidP="0098773A">
      <w:pPr>
        <w:jc w:val="center"/>
        <w:rPr>
          <w:b/>
          <w:sz w:val="22"/>
          <w:szCs w:val="22"/>
        </w:rPr>
      </w:pPr>
      <w:r w:rsidRPr="008F1C27">
        <w:rPr>
          <w:b/>
          <w:sz w:val="22"/>
          <w:szCs w:val="22"/>
        </w:rPr>
        <w:t xml:space="preserve">Table 2: Maturation analysis in </w:t>
      </w:r>
      <w:r w:rsidRPr="008F1C27">
        <w:rPr>
          <w:b/>
          <w:i/>
          <w:sz w:val="22"/>
          <w:szCs w:val="22"/>
        </w:rPr>
        <w:t xml:space="preserve">C. </w:t>
      </w:r>
      <w:proofErr w:type="spellStart"/>
      <w:r w:rsidRPr="008F1C27">
        <w:rPr>
          <w:b/>
          <w:i/>
          <w:sz w:val="22"/>
          <w:szCs w:val="22"/>
        </w:rPr>
        <w:t>Macrocephalus</w:t>
      </w:r>
      <w:r w:rsidRPr="008F1C27">
        <w:rPr>
          <w:b/>
          <w:sz w:val="22"/>
          <w:szCs w:val="22"/>
        </w:rPr>
        <w:t>different</w:t>
      </w:r>
      <w:proofErr w:type="spellEnd"/>
      <w:r w:rsidRPr="008F1C27">
        <w:rPr>
          <w:b/>
          <w:sz w:val="22"/>
          <w:szCs w:val="22"/>
        </w:rPr>
        <w:t xml:space="preserve"> levels of </w:t>
      </w:r>
      <w:proofErr w:type="spellStart"/>
      <w:r w:rsidRPr="008F1C27">
        <w:rPr>
          <w:b/>
          <w:sz w:val="22"/>
          <w:szCs w:val="22"/>
        </w:rPr>
        <w:t>ZnAA</w:t>
      </w:r>
      <w:proofErr w:type="spellEnd"/>
      <w:r w:rsidRPr="008F1C27">
        <w:rPr>
          <w:b/>
          <w:sz w:val="22"/>
          <w:szCs w:val="22"/>
        </w:rPr>
        <w:t xml:space="preserve"> (mean ± SE)</w:t>
      </w:r>
    </w:p>
    <w:tbl>
      <w:tblPr>
        <w:tblW w:w="5000" w:type="pct"/>
        <w:tblLook w:val="04A0" w:firstRow="1" w:lastRow="0" w:firstColumn="1" w:lastColumn="0" w:noHBand="0" w:noVBand="1"/>
      </w:tblPr>
      <w:tblGrid>
        <w:gridCol w:w="3597"/>
        <w:gridCol w:w="1391"/>
        <w:gridCol w:w="1385"/>
        <w:gridCol w:w="1385"/>
        <w:gridCol w:w="882"/>
      </w:tblGrid>
      <w:tr w:rsidR="0098773A" w:rsidRPr="008F1C27" w:rsidTr="00902499">
        <w:trPr>
          <w:trHeight w:val="315"/>
        </w:trPr>
        <w:tc>
          <w:tcPr>
            <w:tcW w:w="2091" w:type="pct"/>
            <w:tcBorders>
              <w:top w:val="single" w:sz="8" w:space="0" w:color="auto"/>
              <w:left w:val="nil"/>
              <w:bottom w:val="single" w:sz="8" w:space="0" w:color="auto"/>
              <w:right w:val="nil"/>
            </w:tcBorders>
            <w:shd w:val="clear" w:color="auto" w:fill="auto"/>
            <w:noWrap/>
            <w:vAlign w:val="bottom"/>
            <w:hideMark/>
          </w:tcPr>
          <w:p w:rsidR="0098773A" w:rsidRPr="008F1C27" w:rsidRDefault="0098773A" w:rsidP="00902499">
            <w:pPr>
              <w:jc w:val="both"/>
              <w:rPr>
                <w:bCs/>
              </w:rPr>
            </w:pPr>
            <w:r w:rsidRPr="008F1C27">
              <w:rPr>
                <w:bCs/>
                <w:sz w:val="22"/>
                <w:szCs w:val="22"/>
              </w:rPr>
              <w:t>Treatment</w:t>
            </w:r>
          </w:p>
        </w:tc>
        <w:tc>
          <w:tcPr>
            <w:tcW w:w="814" w:type="pct"/>
            <w:tcBorders>
              <w:top w:val="single" w:sz="8" w:space="0" w:color="auto"/>
              <w:left w:val="nil"/>
              <w:bottom w:val="single" w:sz="8" w:space="0" w:color="auto"/>
              <w:right w:val="nil"/>
            </w:tcBorders>
            <w:shd w:val="clear" w:color="auto" w:fill="auto"/>
            <w:noWrap/>
            <w:vAlign w:val="bottom"/>
            <w:hideMark/>
          </w:tcPr>
          <w:p w:rsidR="0098773A" w:rsidRPr="008F1C27" w:rsidRDefault="0098773A" w:rsidP="00902499">
            <w:pPr>
              <w:jc w:val="both"/>
              <w:rPr>
                <w:bCs/>
              </w:rPr>
            </w:pPr>
            <w:r w:rsidRPr="008F1C27">
              <w:rPr>
                <w:bCs/>
                <w:sz w:val="22"/>
                <w:szCs w:val="22"/>
              </w:rPr>
              <w:t>Control</w:t>
            </w:r>
          </w:p>
        </w:tc>
        <w:tc>
          <w:tcPr>
            <w:tcW w:w="810" w:type="pct"/>
            <w:tcBorders>
              <w:top w:val="single" w:sz="8" w:space="0" w:color="auto"/>
              <w:left w:val="nil"/>
              <w:bottom w:val="single" w:sz="8" w:space="0" w:color="auto"/>
              <w:right w:val="nil"/>
            </w:tcBorders>
            <w:shd w:val="clear" w:color="auto" w:fill="auto"/>
            <w:noWrap/>
            <w:vAlign w:val="bottom"/>
            <w:hideMark/>
          </w:tcPr>
          <w:p w:rsidR="0098773A" w:rsidRPr="008F1C27" w:rsidRDefault="0098773A" w:rsidP="00902499">
            <w:pPr>
              <w:jc w:val="both"/>
              <w:rPr>
                <w:bCs/>
              </w:rPr>
            </w:pPr>
            <w:r w:rsidRPr="008F1C27">
              <w:rPr>
                <w:bCs/>
                <w:sz w:val="22"/>
                <w:szCs w:val="22"/>
              </w:rPr>
              <w:t>ZnAA1</w:t>
            </w:r>
          </w:p>
        </w:tc>
        <w:tc>
          <w:tcPr>
            <w:tcW w:w="810" w:type="pct"/>
            <w:tcBorders>
              <w:top w:val="single" w:sz="8" w:space="0" w:color="auto"/>
              <w:left w:val="nil"/>
              <w:bottom w:val="single" w:sz="8" w:space="0" w:color="auto"/>
              <w:right w:val="nil"/>
            </w:tcBorders>
            <w:shd w:val="clear" w:color="auto" w:fill="auto"/>
            <w:noWrap/>
            <w:vAlign w:val="bottom"/>
            <w:hideMark/>
          </w:tcPr>
          <w:p w:rsidR="0098773A" w:rsidRPr="008F1C27" w:rsidRDefault="0098773A" w:rsidP="00902499">
            <w:pPr>
              <w:jc w:val="both"/>
              <w:rPr>
                <w:bCs/>
              </w:rPr>
            </w:pPr>
            <w:r w:rsidRPr="008F1C27">
              <w:rPr>
                <w:bCs/>
                <w:sz w:val="22"/>
                <w:szCs w:val="22"/>
              </w:rPr>
              <w:t>ZnAA2</w:t>
            </w:r>
          </w:p>
        </w:tc>
        <w:tc>
          <w:tcPr>
            <w:tcW w:w="477" w:type="pct"/>
            <w:tcBorders>
              <w:top w:val="single" w:sz="8" w:space="0" w:color="auto"/>
              <w:left w:val="nil"/>
              <w:bottom w:val="single" w:sz="8" w:space="0" w:color="auto"/>
              <w:right w:val="nil"/>
            </w:tcBorders>
            <w:shd w:val="clear" w:color="auto" w:fill="auto"/>
            <w:noWrap/>
            <w:vAlign w:val="bottom"/>
            <w:hideMark/>
          </w:tcPr>
          <w:p w:rsidR="0098773A" w:rsidRPr="008F1C27" w:rsidRDefault="0098773A" w:rsidP="00902499">
            <w:pPr>
              <w:jc w:val="both"/>
              <w:rPr>
                <w:bCs/>
                <w:i/>
                <w:iCs/>
              </w:rPr>
            </w:pPr>
            <w:r w:rsidRPr="008F1C27">
              <w:rPr>
                <w:bCs/>
                <w:i/>
                <w:iCs/>
                <w:sz w:val="22"/>
                <w:szCs w:val="22"/>
              </w:rPr>
              <w:t>P</w:t>
            </w:r>
            <w:r w:rsidRPr="008F1C27">
              <w:rPr>
                <w:bCs/>
                <w:sz w:val="22"/>
                <w:szCs w:val="22"/>
              </w:rPr>
              <w:t xml:space="preserve"> value</w:t>
            </w:r>
          </w:p>
        </w:tc>
      </w:tr>
      <w:tr w:rsidR="0098773A" w:rsidRPr="008F1C27" w:rsidTr="00902499">
        <w:trPr>
          <w:trHeight w:val="300"/>
        </w:trPr>
        <w:tc>
          <w:tcPr>
            <w:tcW w:w="2091" w:type="pct"/>
            <w:tcBorders>
              <w:top w:val="nil"/>
              <w:left w:val="nil"/>
              <w:bottom w:val="nil"/>
              <w:right w:val="nil"/>
            </w:tcBorders>
            <w:shd w:val="clear" w:color="auto" w:fill="auto"/>
            <w:noWrap/>
            <w:vAlign w:val="center"/>
            <w:hideMark/>
          </w:tcPr>
          <w:p w:rsidR="0098773A" w:rsidRPr="008F1C27" w:rsidRDefault="0098773A" w:rsidP="00902499">
            <w:pPr>
              <w:jc w:val="both"/>
            </w:pPr>
            <w:r w:rsidRPr="008F1C27">
              <w:rPr>
                <w:sz w:val="22"/>
                <w:szCs w:val="22"/>
              </w:rPr>
              <w:t>Histology spermatogonium cell (%)</w:t>
            </w:r>
          </w:p>
        </w:tc>
        <w:tc>
          <w:tcPr>
            <w:tcW w:w="814" w:type="pct"/>
            <w:tcBorders>
              <w:top w:val="nil"/>
              <w:left w:val="nil"/>
              <w:bottom w:val="nil"/>
              <w:right w:val="nil"/>
            </w:tcBorders>
            <w:shd w:val="clear" w:color="auto" w:fill="auto"/>
            <w:noWrap/>
            <w:vAlign w:val="bottom"/>
            <w:hideMark/>
          </w:tcPr>
          <w:p w:rsidR="0098773A" w:rsidRPr="008F1C27" w:rsidRDefault="0098773A" w:rsidP="00902499">
            <w:pPr>
              <w:jc w:val="both"/>
            </w:pPr>
            <w:r w:rsidRPr="008F1C27">
              <w:rPr>
                <w:sz w:val="22"/>
                <w:szCs w:val="22"/>
              </w:rPr>
              <w:t>33.9%</w:t>
            </w:r>
          </w:p>
        </w:tc>
        <w:tc>
          <w:tcPr>
            <w:tcW w:w="810" w:type="pct"/>
            <w:tcBorders>
              <w:top w:val="nil"/>
              <w:left w:val="nil"/>
              <w:bottom w:val="nil"/>
              <w:right w:val="nil"/>
            </w:tcBorders>
            <w:shd w:val="clear" w:color="auto" w:fill="auto"/>
            <w:noWrap/>
            <w:vAlign w:val="bottom"/>
            <w:hideMark/>
          </w:tcPr>
          <w:p w:rsidR="0098773A" w:rsidRPr="008F1C27" w:rsidRDefault="0098773A" w:rsidP="00902499">
            <w:pPr>
              <w:jc w:val="both"/>
            </w:pPr>
            <w:r w:rsidRPr="008F1C27">
              <w:rPr>
                <w:sz w:val="22"/>
                <w:szCs w:val="22"/>
              </w:rPr>
              <w:t>13.6%</w:t>
            </w:r>
          </w:p>
        </w:tc>
        <w:tc>
          <w:tcPr>
            <w:tcW w:w="810" w:type="pct"/>
            <w:tcBorders>
              <w:top w:val="nil"/>
              <w:left w:val="nil"/>
              <w:bottom w:val="nil"/>
              <w:right w:val="nil"/>
            </w:tcBorders>
            <w:shd w:val="clear" w:color="auto" w:fill="auto"/>
            <w:noWrap/>
            <w:vAlign w:val="bottom"/>
            <w:hideMark/>
          </w:tcPr>
          <w:p w:rsidR="0098773A" w:rsidRPr="008F1C27" w:rsidRDefault="0098773A" w:rsidP="00902499">
            <w:pPr>
              <w:jc w:val="both"/>
            </w:pPr>
            <w:r w:rsidRPr="008F1C27">
              <w:rPr>
                <w:sz w:val="22"/>
                <w:szCs w:val="22"/>
              </w:rPr>
              <w:t>7.3%</w:t>
            </w:r>
          </w:p>
        </w:tc>
        <w:tc>
          <w:tcPr>
            <w:tcW w:w="477" w:type="pct"/>
            <w:tcBorders>
              <w:top w:val="nil"/>
              <w:left w:val="nil"/>
              <w:bottom w:val="nil"/>
              <w:right w:val="nil"/>
            </w:tcBorders>
            <w:shd w:val="clear" w:color="auto" w:fill="auto"/>
            <w:noWrap/>
            <w:vAlign w:val="bottom"/>
            <w:hideMark/>
          </w:tcPr>
          <w:p w:rsidR="0098773A" w:rsidRPr="008F1C27" w:rsidRDefault="0098773A" w:rsidP="00902499">
            <w:pPr>
              <w:jc w:val="both"/>
            </w:pPr>
            <w:r w:rsidRPr="008F1C27">
              <w:rPr>
                <w:sz w:val="22"/>
                <w:szCs w:val="22"/>
              </w:rPr>
              <w:t>-</w:t>
            </w:r>
          </w:p>
        </w:tc>
      </w:tr>
      <w:tr w:rsidR="0098773A" w:rsidRPr="008F1C27" w:rsidTr="00902499">
        <w:trPr>
          <w:trHeight w:val="300"/>
        </w:trPr>
        <w:tc>
          <w:tcPr>
            <w:tcW w:w="2091" w:type="pct"/>
            <w:tcBorders>
              <w:top w:val="nil"/>
              <w:left w:val="nil"/>
              <w:bottom w:val="nil"/>
              <w:right w:val="nil"/>
            </w:tcBorders>
            <w:shd w:val="clear" w:color="auto" w:fill="auto"/>
            <w:noWrap/>
            <w:vAlign w:val="center"/>
          </w:tcPr>
          <w:p w:rsidR="0098773A" w:rsidRPr="008F1C27" w:rsidRDefault="0098773A" w:rsidP="00902499">
            <w:pPr>
              <w:jc w:val="both"/>
            </w:pPr>
            <w:r w:rsidRPr="008F1C27">
              <w:rPr>
                <w:sz w:val="22"/>
                <w:szCs w:val="22"/>
              </w:rPr>
              <w:t>Histology spermatid cell (%)</w:t>
            </w:r>
          </w:p>
        </w:tc>
        <w:tc>
          <w:tcPr>
            <w:tcW w:w="814" w:type="pct"/>
            <w:tcBorders>
              <w:top w:val="nil"/>
              <w:left w:val="nil"/>
              <w:bottom w:val="nil"/>
              <w:right w:val="nil"/>
            </w:tcBorders>
            <w:shd w:val="clear" w:color="auto" w:fill="auto"/>
            <w:noWrap/>
            <w:vAlign w:val="bottom"/>
          </w:tcPr>
          <w:p w:rsidR="0098773A" w:rsidRPr="008F1C27" w:rsidRDefault="0098773A" w:rsidP="00902499">
            <w:pPr>
              <w:jc w:val="both"/>
            </w:pPr>
            <w:r w:rsidRPr="008F1C27">
              <w:rPr>
                <w:sz w:val="22"/>
                <w:szCs w:val="22"/>
              </w:rPr>
              <w:t>27.3%</w:t>
            </w:r>
          </w:p>
        </w:tc>
        <w:tc>
          <w:tcPr>
            <w:tcW w:w="810" w:type="pct"/>
            <w:tcBorders>
              <w:top w:val="nil"/>
              <w:left w:val="nil"/>
              <w:bottom w:val="nil"/>
              <w:right w:val="nil"/>
            </w:tcBorders>
            <w:shd w:val="clear" w:color="auto" w:fill="auto"/>
            <w:noWrap/>
            <w:vAlign w:val="bottom"/>
          </w:tcPr>
          <w:p w:rsidR="0098773A" w:rsidRPr="008F1C27" w:rsidRDefault="0098773A" w:rsidP="00902499">
            <w:pPr>
              <w:jc w:val="both"/>
            </w:pPr>
            <w:r w:rsidRPr="008F1C27">
              <w:rPr>
                <w:sz w:val="22"/>
                <w:szCs w:val="22"/>
              </w:rPr>
              <w:t>25.7%</w:t>
            </w:r>
          </w:p>
        </w:tc>
        <w:tc>
          <w:tcPr>
            <w:tcW w:w="810" w:type="pct"/>
            <w:tcBorders>
              <w:top w:val="nil"/>
              <w:left w:val="nil"/>
              <w:bottom w:val="nil"/>
              <w:right w:val="nil"/>
            </w:tcBorders>
            <w:shd w:val="clear" w:color="auto" w:fill="auto"/>
            <w:noWrap/>
            <w:vAlign w:val="bottom"/>
          </w:tcPr>
          <w:p w:rsidR="0098773A" w:rsidRPr="008F1C27" w:rsidRDefault="0098773A" w:rsidP="00902499">
            <w:pPr>
              <w:jc w:val="both"/>
            </w:pPr>
            <w:r w:rsidRPr="008F1C27">
              <w:rPr>
                <w:sz w:val="22"/>
                <w:szCs w:val="22"/>
              </w:rPr>
              <w:t>22%</w:t>
            </w:r>
          </w:p>
        </w:tc>
        <w:tc>
          <w:tcPr>
            <w:tcW w:w="477" w:type="pct"/>
            <w:tcBorders>
              <w:top w:val="nil"/>
              <w:left w:val="nil"/>
              <w:bottom w:val="nil"/>
              <w:right w:val="nil"/>
            </w:tcBorders>
            <w:shd w:val="clear" w:color="auto" w:fill="auto"/>
            <w:noWrap/>
            <w:vAlign w:val="bottom"/>
          </w:tcPr>
          <w:p w:rsidR="0098773A" w:rsidRPr="008F1C27" w:rsidRDefault="0098773A" w:rsidP="00902499">
            <w:pPr>
              <w:jc w:val="both"/>
            </w:pPr>
            <w:r w:rsidRPr="008F1C27">
              <w:rPr>
                <w:sz w:val="22"/>
                <w:szCs w:val="22"/>
              </w:rPr>
              <w:t>-</w:t>
            </w:r>
          </w:p>
        </w:tc>
      </w:tr>
      <w:tr w:rsidR="0098773A" w:rsidRPr="008F1C27" w:rsidTr="00902499">
        <w:trPr>
          <w:trHeight w:val="252"/>
        </w:trPr>
        <w:tc>
          <w:tcPr>
            <w:tcW w:w="2091" w:type="pct"/>
            <w:tcBorders>
              <w:top w:val="nil"/>
              <w:left w:val="nil"/>
              <w:right w:val="nil"/>
            </w:tcBorders>
            <w:shd w:val="clear" w:color="auto" w:fill="auto"/>
            <w:noWrap/>
            <w:vAlign w:val="center"/>
            <w:hideMark/>
          </w:tcPr>
          <w:p w:rsidR="0098773A" w:rsidRPr="008F1C27" w:rsidRDefault="0098773A" w:rsidP="00902499">
            <w:pPr>
              <w:jc w:val="both"/>
            </w:pPr>
            <w:r w:rsidRPr="008F1C27">
              <w:rPr>
                <w:sz w:val="22"/>
                <w:szCs w:val="22"/>
              </w:rPr>
              <w:t>Histology spermatozoa cell (%)</w:t>
            </w:r>
          </w:p>
        </w:tc>
        <w:tc>
          <w:tcPr>
            <w:tcW w:w="814"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38.8%</w:t>
            </w:r>
          </w:p>
        </w:tc>
        <w:tc>
          <w:tcPr>
            <w:tcW w:w="810"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60.7%</w:t>
            </w:r>
          </w:p>
        </w:tc>
        <w:tc>
          <w:tcPr>
            <w:tcW w:w="810"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70.7%</w:t>
            </w:r>
          </w:p>
        </w:tc>
        <w:tc>
          <w:tcPr>
            <w:tcW w:w="477"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w:t>
            </w:r>
          </w:p>
        </w:tc>
      </w:tr>
      <w:tr w:rsidR="0098773A" w:rsidRPr="008F1C27" w:rsidTr="00902499">
        <w:trPr>
          <w:trHeight w:val="225"/>
        </w:trPr>
        <w:tc>
          <w:tcPr>
            <w:tcW w:w="2091" w:type="pct"/>
            <w:tcBorders>
              <w:top w:val="nil"/>
              <w:left w:val="nil"/>
              <w:right w:val="nil"/>
            </w:tcBorders>
            <w:shd w:val="clear" w:color="auto" w:fill="auto"/>
            <w:noWrap/>
            <w:vAlign w:val="center"/>
            <w:hideMark/>
          </w:tcPr>
          <w:p w:rsidR="0098773A" w:rsidRPr="008F1C27" w:rsidRDefault="0098773A" w:rsidP="00902499">
            <w:pPr>
              <w:jc w:val="both"/>
            </w:pPr>
            <w:r w:rsidRPr="008F1C27">
              <w:rPr>
                <w:sz w:val="22"/>
                <w:szCs w:val="22"/>
              </w:rPr>
              <w:t xml:space="preserve">Gonadosomatic index (%) </w:t>
            </w:r>
          </w:p>
        </w:tc>
        <w:tc>
          <w:tcPr>
            <w:tcW w:w="814"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0.42</w:t>
            </w:r>
            <w:r w:rsidRPr="008F1C27">
              <w:rPr>
                <w:sz w:val="22"/>
                <w:szCs w:val="22"/>
                <w:vertAlign w:val="superscript"/>
              </w:rPr>
              <w:t>b</w:t>
            </w:r>
            <w:r w:rsidRPr="008F1C27">
              <w:rPr>
                <w:sz w:val="22"/>
                <w:szCs w:val="22"/>
              </w:rPr>
              <w:t xml:space="preserve"> ± 0.07</w:t>
            </w:r>
          </w:p>
        </w:tc>
        <w:tc>
          <w:tcPr>
            <w:tcW w:w="810"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0.65</w:t>
            </w:r>
            <w:r w:rsidRPr="008F1C27">
              <w:rPr>
                <w:sz w:val="22"/>
                <w:szCs w:val="22"/>
                <w:vertAlign w:val="superscript"/>
              </w:rPr>
              <w:t>a</w:t>
            </w:r>
            <w:r w:rsidRPr="008F1C27">
              <w:rPr>
                <w:sz w:val="22"/>
                <w:szCs w:val="22"/>
              </w:rPr>
              <w:t xml:space="preserve"> ± 0.15</w:t>
            </w:r>
          </w:p>
        </w:tc>
        <w:tc>
          <w:tcPr>
            <w:tcW w:w="810"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0.70</w:t>
            </w:r>
            <w:r w:rsidRPr="008F1C27">
              <w:rPr>
                <w:sz w:val="22"/>
                <w:szCs w:val="22"/>
                <w:vertAlign w:val="superscript"/>
              </w:rPr>
              <w:t>a</w:t>
            </w:r>
            <w:r w:rsidRPr="008F1C27">
              <w:rPr>
                <w:sz w:val="22"/>
                <w:szCs w:val="22"/>
              </w:rPr>
              <w:t xml:space="preserve"> ± 0.11</w:t>
            </w:r>
          </w:p>
        </w:tc>
        <w:tc>
          <w:tcPr>
            <w:tcW w:w="477" w:type="pct"/>
            <w:tcBorders>
              <w:top w:val="nil"/>
              <w:left w:val="nil"/>
              <w:right w:val="nil"/>
            </w:tcBorders>
            <w:shd w:val="clear" w:color="auto" w:fill="auto"/>
            <w:noWrap/>
            <w:vAlign w:val="bottom"/>
            <w:hideMark/>
          </w:tcPr>
          <w:p w:rsidR="0098773A" w:rsidRPr="008F1C27" w:rsidRDefault="0098773A" w:rsidP="00902499">
            <w:pPr>
              <w:jc w:val="both"/>
            </w:pPr>
            <w:r w:rsidRPr="008F1C27">
              <w:rPr>
                <w:sz w:val="22"/>
                <w:szCs w:val="22"/>
              </w:rPr>
              <w:t>0.002</w:t>
            </w:r>
          </w:p>
        </w:tc>
      </w:tr>
      <w:tr w:rsidR="0098773A" w:rsidRPr="008F1C27" w:rsidTr="00902499">
        <w:trPr>
          <w:trHeight w:val="300"/>
        </w:trPr>
        <w:tc>
          <w:tcPr>
            <w:tcW w:w="2091" w:type="pct"/>
            <w:tcBorders>
              <w:top w:val="nil"/>
              <w:left w:val="nil"/>
              <w:bottom w:val="single" w:sz="4" w:space="0" w:color="auto"/>
              <w:right w:val="nil"/>
            </w:tcBorders>
            <w:shd w:val="clear" w:color="auto" w:fill="auto"/>
            <w:noWrap/>
            <w:vAlign w:val="center"/>
            <w:hideMark/>
          </w:tcPr>
          <w:p w:rsidR="0098773A" w:rsidRPr="008F1C27" w:rsidRDefault="0098773A" w:rsidP="00902499">
            <w:pPr>
              <w:jc w:val="both"/>
            </w:pPr>
            <w:r w:rsidRPr="008F1C27">
              <w:rPr>
                <w:sz w:val="22"/>
                <w:szCs w:val="22"/>
              </w:rPr>
              <w:t>Weight gain (%)</w:t>
            </w:r>
          </w:p>
        </w:tc>
        <w:tc>
          <w:tcPr>
            <w:tcW w:w="814" w:type="pct"/>
            <w:tcBorders>
              <w:top w:val="nil"/>
              <w:left w:val="nil"/>
              <w:bottom w:val="single" w:sz="4" w:space="0" w:color="auto"/>
              <w:right w:val="nil"/>
            </w:tcBorders>
            <w:shd w:val="clear" w:color="auto" w:fill="auto"/>
            <w:noWrap/>
            <w:vAlign w:val="bottom"/>
            <w:hideMark/>
          </w:tcPr>
          <w:p w:rsidR="0098773A" w:rsidRPr="008F1C27" w:rsidRDefault="0098773A" w:rsidP="00902499">
            <w:pPr>
              <w:jc w:val="both"/>
            </w:pPr>
            <w:r w:rsidRPr="008F1C27">
              <w:rPr>
                <w:sz w:val="22"/>
                <w:szCs w:val="22"/>
              </w:rPr>
              <w:t>10.9 ± 5.8</w:t>
            </w:r>
          </w:p>
        </w:tc>
        <w:tc>
          <w:tcPr>
            <w:tcW w:w="810" w:type="pct"/>
            <w:tcBorders>
              <w:top w:val="nil"/>
              <w:left w:val="nil"/>
              <w:bottom w:val="single" w:sz="4" w:space="0" w:color="auto"/>
              <w:right w:val="nil"/>
            </w:tcBorders>
            <w:shd w:val="clear" w:color="auto" w:fill="auto"/>
            <w:noWrap/>
            <w:vAlign w:val="bottom"/>
            <w:hideMark/>
          </w:tcPr>
          <w:p w:rsidR="0098773A" w:rsidRPr="008F1C27" w:rsidRDefault="0098773A" w:rsidP="00902499">
            <w:pPr>
              <w:jc w:val="both"/>
            </w:pPr>
            <w:r w:rsidRPr="008F1C27">
              <w:rPr>
                <w:sz w:val="22"/>
                <w:szCs w:val="22"/>
              </w:rPr>
              <w:t>13.2 ± 9.3</w:t>
            </w:r>
          </w:p>
        </w:tc>
        <w:tc>
          <w:tcPr>
            <w:tcW w:w="810" w:type="pct"/>
            <w:tcBorders>
              <w:top w:val="nil"/>
              <w:left w:val="nil"/>
              <w:bottom w:val="single" w:sz="4" w:space="0" w:color="auto"/>
              <w:right w:val="nil"/>
            </w:tcBorders>
            <w:shd w:val="clear" w:color="auto" w:fill="auto"/>
            <w:noWrap/>
            <w:vAlign w:val="bottom"/>
            <w:hideMark/>
          </w:tcPr>
          <w:p w:rsidR="0098773A" w:rsidRPr="008F1C27" w:rsidRDefault="0098773A" w:rsidP="00902499">
            <w:pPr>
              <w:jc w:val="both"/>
            </w:pPr>
            <w:r w:rsidRPr="008F1C27">
              <w:rPr>
                <w:sz w:val="22"/>
                <w:szCs w:val="22"/>
              </w:rPr>
              <w:t>17.6 ± 11.9</w:t>
            </w:r>
          </w:p>
        </w:tc>
        <w:tc>
          <w:tcPr>
            <w:tcW w:w="477" w:type="pct"/>
            <w:tcBorders>
              <w:top w:val="nil"/>
              <w:left w:val="nil"/>
              <w:bottom w:val="single" w:sz="4" w:space="0" w:color="auto"/>
              <w:right w:val="nil"/>
            </w:tcBorders>
            <w:shd w:val="clear" w:color="auto" w:fill="auto"/>
            <w:noWrap/>
            <w:vAlign w:val="bottom"/>
            <w:hideMark/>
          </w:tcPr>
          <w:p w:rsidR="0098773A" w:rsidRPr="008F1C27" w:rsidRDefault="0098773A" w:rsidP="00902499">
            <w:pPr>
              <w:jc w:val="both"/>
            </w:pPr>
            <w:r w:rsidRPr="008F1C27">
              <w:rPr>
                <w:sz w:val="22"/>
                <w:szCs w:val="22"/>
              </w:rPr>
              <w:t>0.1</w:t>
            </w:r>
          </w:p>
        </w:tc>
      </w:tr>
    </w:tbl>
    <w:p w:rsidR="0098773A" w:rsidRPr="008F1C27" w:rsidRDefault="0098773A" w:rsidP="0098773A">
      <w:pPr>
        <w:jc w:val="both"/>
        <w:rPr>
          <w:sz w:val="22"/>
          <w:szCs w:val="22"/>
        </w:rPr>
      </w:pPr>
      <w:proofErr w:type="spellStart"/>
      <w:r w:rsidRPr="008F1C27">
        <w:rPr>
          <w:sz w:val="22"/>
          <w:szCs w:val="22"/>
          <w:vertAlign w:val="superscript"/>
        </w:rPr>
        <w:t>a,b</w:t>
      </w:r>
      <w:proofErr w:type="spellEnd"/>
      <w:r w:rsidRPr="008F1C27">
        <w:rPr>
          <w:sz w:val="22"/>
          <w:szCs w:val="22"/>
        </w:rPr>
        <w:t xml:space="preserve"> Values with different superscripts in a row differ significantly (</w:t>
      </w:r>
      <w:r w:rsidRPr="008F1C27">
        <w:rPr>
          <w:i/>
          <w:iCs/>
          <w:sz w:val="22"/>
          <w:szCs w:val="22"/>
        </w:rPr>
        <w:t xml:space="preserve">P </w:t>
      </w:r>
      <w:r w:rsidRPr="008F1C27">
        <w:rPr>
          <w:sz w:val="22"/>
          <w:szCs w:val="22"/>
        </w:rPr>
        <w:t>&lt; 0.05).</w:t>
      </w:r>
    </w:p>
    <w:p w:rsidR="0098773A" w:rsidRDefault="0098773A" w:rsidP="0098773A">
      <w:pPr>
        <w:jc w:val="both"/>
        <w:rPr>
          <w:sz w:val="22"/>
          <w:szCs w:val="22"/>
        </w:rPr>
      </w:pPr>
    </w:p>
    <w:p w:rsidR="008F1C27" w:rsidRPr="008F1C27" w:rsidRDefault="008F1C27" w:rsidP="0098773A">
      <w:pPr>
        <w:jc w:val="both"/>
        <w:rPr>
          <w:sz w:val="22"/>
          <w:szCs w:val="22"/>
        </w:rPr>
      </w:pPr>
    </w:p>
    <w:p w:rsidR="0098773A" w:rsidRPr="008F1C27" w:rsidRDefault="0098773A" w:rsidP="0098773A">
      <w:pPr>
        <w:jc w:val="center"/>
        <w:rPr>
          <w:b/>
          <w:sz w:val="22"/>
          <w:szCs w:val="22"/>
        </w:rPr>
      </w:pPr>
      <w:r w:rsidRPr="008F1C27">
        <w:rPr>
          <w:b/>
          <w:sz w:val="22"/>
          <w:szCs w:val="22"/>
        </w:rPr>
        <w:t xml:space="preserve">Table 3: Sperm analysis for </w:t>
      </w:r>
      <w:r w:rsidRPr="008F1C27">
        <w:rPr>
          <w:b/>
          <w:i/>
          <w:sz w:val="22"/>
          <w:szCs w:val="22"/>
        </w:rPr>
        <w:t xml:space="preserve">C. </w:t>
      </w:r>
      <w:proofErr w:type="spellStart"/>
      <w:r w:rsidRPr="008F1C27">
        <w:rPr>
          <w:b/>
          <w:i/>
          <w:sz w:val="22"/>
          <w:szCs w:val="22"/>
        </w:rPr>
        <w:t>Macrocephalus</w:t>
      </w:r>
      <w:r w:rsidRPr="008F1C27">
        <w:rPr>
          <w:b/>
          <w:sz w:val="22"/>
          <w:szCs w:val="22"/>
        </w:rPr>
        <w:t>with</w:t>
      </w:r>
      <w:proofErr w:type="spellEnd"/>
      <w:r w:rsidRPr="008F1C27">
        <w:rPr>
          <w:b/>
          <w:sz w:val="22"/>
          <w:szCs w:val="22"/>
        </w:rPr>
        <w:t xml:space="preserve"> different levels of </w:t>
      </w:r>
      <w:proofErr w:type="spellStart"/>
      <w:r w:rsidRPr="008F1C27">
        <w:rPr>
          <w:b/>
          <w:sz w:val="22"/>
          <w:szCs w:val="22"/>
        </w:rPr>
        <w:t>ZnAA</w:t>
      </w:r>
      <w:proofErr w:type="spellEnd"/>
      <w:r w:rsidRPr="008F1C27">
        <w:rPr>
          <w:b/>
          <w:sz w:val="22"/>
          <w:szCs w:val="22"/>
        </w:rPr>
        <w:t xml:space="preserve"> (mean ± SE)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635"/>
        <w:gridCol w:w="1481"/>
        <w:gridCol w:w="1481"/>
        <w:gridCol w:w="1020"/>
      </w:tblGrid>
      <w:tr w:rsidR="0098773A" w:rsidRPr="008F1C27" w:rsidTr="00902499">
        <w:tc>
          <w:tcPr>
            <w:tcW w:w="1750" w:type="pct"/>
          </w:tcPr>
          <w:p w:rsidR="0098773A" w:rsidRPr="008F1C27" w:rsidRDefault="0098773A" w:rsidP="00902499">
            <w:pPr>
              <w:jc w:val="both"/>
            </w:pPr>
            <w:r w:rsidRPr="008F1C27">
              <w:t>Treatment</w:t>
            </w:r>
          </w:p>
        </w:tc>
        <w:tc>
          <w:tcPr>
            <w:tcW w:w="946" w:type="pct"/>
          </w:tcPr>
          <w:p w:rsidR="0098773A" w:rsidRPr="008F1C27" w:rsidRDefault="0098773A" w:rsidP="00902499">
            <w:pPr>
              <w:jc w:val="both"/>
            </w:pPr>
            <w:r w:rsidRPr="008F1C27">
              <w:t>Control</w:t>
            </w:r>
          </w:p>
        </w:tc>
        <w:tc>
          <w:tcPr>
            <w:tcW w:w="857" w:type="pct"/>
          </w:tcPr>
          <w:p w:rsidR="0098773A" w:rsidRPr="008F1C27" w:rsidRDefault="0098773A" w:rsidP="00902499">
            <w:pPr>
              <w:jc w:val="both"/>
            </w:pPr>
            <w:r w:rsidRPr="008F1C27">
              <w:t>ZnAA1</w:t>
            </w:r>
          </w:p>
        </w:tc>
        <w:tc>
          <w:tcPr>
            <w:tcW w:w="857" w:type="pct"/>
          </w:tcPr>
          <w:p w:rsidR="0098773A" w:rsidRPr="008F1C27" w:rsidRDefault="0098773A" w:rsidP="00902499">
            <w:pPr>
              <w:jc w:val="both"/>
            </w:pPr>
            <w:r w:rsidRPr="008F1C27">
              <w:t>ZnAA2</w:t>
            </w:r>
          </w:p>
        </w:tc>
        <w:tc>
          <w:tcPr>
            <w:tcW w:w="590" w:type="pct"/>
          </w:tcPr>
          <w:p w:rsidR="0098773A" w:rsidRPr="008F1C27" w:rsidRDefault="0098773A" w:rsidP="00902499">
            <w:pPr>
              <w:jc w:val="both"/>
            </w:pPr>
            <w:r w:rsidRPr="008F1C27">
              <w:rPr>
                <w:i/>
              </w:rPr>
              <w:t>P</w:t>
            </w:r>
            <w:r w:rsidRPr="008F1C27">
              <w:t xml:space="preserve"> value</w:t>
            </w:r>
          </w:p>
        </w:tc>
      </w:tr>
    </w:tbl>
    <w:tbl>
      <w:tblPr>
        <w:tblW w:w="5000" w:type="pct"/>
        <w:tblLayout w:type="fixed"/>
        <w:tblLook w:val="04A0" w:firstRow="1" w:lastRow="0" w:firstColumn="1" w:lastColumn="0" w:noHBand="0" w:noVBand="1"/>
      </w:tblPr>
      <w:tblGrid>
        <w:gridCol w:w="3105"/>
        <w:gridCol w:w="1624"/>
        <w:gridCol w:w="1462"/>
        <w:gridCol w:w="1462"/>
        <w:gridCol w:w="987"/>
      </w:tblGrid>
      <w:tr w:rsidR="0098773A" w:rsidRPr="008F1C27" w:rsidTr="00902499">
        <w:trPr>
          <w:trHeight w:val="300"/>
        </w:trPr>
        <w:tc>
          <w:tcPr>
            <w:tcW w:w="1797" w:type="pct"/>
            <w:shd w:val="clear" w:color="auto" w:fill="auto"/>
            <w:noWrap/>
            <w:vAlign w:val="center"/>
            <w:hideMark/>
          </w:tcPr>
          <w:p w:rsidR="0098773A" w:rsidRPr="008F1C27" w:rsidRDefault="0098773A" w:rsidP="00902499">
            <w:pPr>
              <w:jc w:val="both"/>
            </w:pPr>
            <w:r w:rsidRPr="008F1C27">
              <w:rPr>
                <w:sz w:val="22"/>
                <w:szCs w:val="22"/>
              </w:rPr>
              <w:t xml:space="preserve">Sperm abnormality (%) </w:t>
            </w:r>
          </w:p>
        </w:tc>
        <w:tc>
          <w:tcPr>
            <w:tcW w:w="940" w:type="pct"/>
            <w:shd w:val="clear" w:color="auto" w:fill="auto"/>
            <w:noWrap/>
            <w:vAlign w:val="bottom"/>
            <w:hideMark/>
          </w:tcPr>
          <w:p w:rsidR="0098773A" w:rsidRPr="008F1C27" w:rsidRDefault="0098773A" w:rsidP="00902499">
            <w:pPr>
              <w:jc w:val="both"/>
            </w:pPr>
            <w:r w:rsidRPr="008F1C27">
              <w:rPr>
                <w:sz w:val="22"/>
                <w:szCs w:val="22"/>
              </w:rPr>
              <w:t>30.8</w:t>
            </w:r>
            <w:r w:rsidRPr="008F1C27">
              <w:rPr>
                <w:sz w:val="22"/>
                <w:szCs w:val="22"/>
                <w:vertAlign w:val="superscript"/>
              </w:rPr>
              <w:t>b</w:t>
            </w:r>
            <w:r w:rsidRPr="008F1C27">
              <w:rPr>
                <w:sz w:val="22"/>
                <w:szCs w:val="22"/>
              </w:rPr>
              <w:t xml:space="preserve"> ± 8</w:t>
            </w:r>
          </w:p>
        </w:tc>
        <w:tc>
          <w:tcPr>
            <w:tcW w:w="846" w:type="pct"/>
            <w:shd w:val="clear" w:color="auto" w:fill="auto"/>
            <w:noWrap/>
            <w:vAlign w:val="bottom"/>
            <w:hideMark/>
          </w:tcPr>
          <w:p w:rsidR="0098773A" w:rsidRPr="008F1C27" w:rsidRDefault="0098773A" w:rsidP="00902499">
            <w:pPr>
              <w:jc w:val="both"/>
            </w:pPr>
            <w:r w:rsidRPr="008F1C27">
              <w:rPr>
                <w:sz w:val="22"/>
                <w:szCs w:val="22"/>
              </w:rPr>
              <w:t>15.8</w:t>
            </w:r>
            <w:r w:rsidRPr="008F1C27">
              <w:rPr>
                <w:sz w:val="22"/>
                <w:szCs w:val="22"/>
                <w:vertAlign w:val="superscript"/>
              </w:rPr>
              <w:t>a</w:t>
            </w:r>
            <w:r w:rsidRPr="008F1C27">
              <w:rPr>
                <w:sz w:val="22"/>
                <w:szCs w:val="22"/>
              </w:rPr>
              <w:t xml:space="preserve"> ± 4</w:t>
            </w:r>
          </w:p>
        </w:tc>
        <w:tc>
          <w:tcPr>
            <w:tcW w:w="846" w:type="pct"/>
            <w:shd w:val="clear" w:color="auto" w:fill="auto"/>
            <w:noWrap/>
            <w:vAlign w:val="bottom"/>
            <w:hideMark/>
          </w:tcPr>
          <w:p w:rsidR="0098773A" w:rsidRPr="008F1C27" w:rsidRDefault="0098773A" w:rsidP="00902499">
            <w:pPr>
              <w:jc w:val="both"/>
            </w:pPr>
            <w:r w:rsidRPr="008F1C27">
              <w:rPr>
                <w:sz w:val="22"/>
                <w:szCs w:val="22"/>
              </w:rPr>
              <w:t>12.2</w:t>
            </w:r>
            <w:r w:rsidRPr="008F1C27">
              <w:rPr>
                <w:sz w:val="22"/>
                <w:szCs w:val="22"/>
                <w:vertAlign w:val="superscript"/>
              </w:rPr>
              <w:t>a</w:t>
            </w:r>
            <w:r w:rsidRPr="008F1C27">
              <w:rPr>
                <w:sz w:val="22"/>
                <w:szCs w:val="22"/>
              </w:rPr>
              <w:t xml:space="preserve"> ± 4</w:t>
            </w:r>
          </w:p>
        </w:tc>
        <w:tc>
          <w:tcPr>
            <w:tcW w:w="572" w:type="pct"/>
            <w:shd w:val="clear" w:color="auto" w:fill="auto"/>
            <w:noWrap/>
            <w:vAlign w:val="bottom"/>
            <w:hideMark/>
          </w:tcPr>
          <w:p w:rsidR="0098773A" w:rsidRPr="008F1C27" w:rsidRDefault="0098773A" w:rsidP="00902499">
            <w:pPr>
              <w:jc w:val="both"/>
            </w:pPr>
            <w:r w:rsidRPr="008F1C27">
              <w:rPr>
                <w:sz w:val="22"/>
                <w:szCs w:val="22"/>
              </w:rPr>
              <w:t>0.001</w:t>
            </w:r>
          </w:p>
        </w:tc>
      </w:tr>
      <w:tr w:rsidR="0098773A" w:rsidRPr="008F1C27" w:rsidTr="00902499">
        <w:trPr>
          <w:trHeight w:val="270"/>
        </w:trPr>
        <w:tc>
          <w:tcPr>
            <w:tcW w:w="1797" w:type="pct"/>
            <w:shd w:val="clear" w:color="auto" w:fill="auto"/>
            <w:noWrap/>
            <w:vAlign w:val="center"/>
            <w:hideMark/>
          </w:tcPr>
          <w:p w:rsidR="0098773A" w:rsidRPr="008F1C27" w:rsidRDefault="0098773A" w:rsidP="00902499">
            <w:pPr>
              <w:jc w:val="both"/>
            </w:pPr>
            <w:r w:rsidRPr="008F1C27">
              <w:rPr>
                <w:sz w:val="22"/>
                <w:szCs w:val="22"/>
              </w:rPr>
              <w:t>Live sperm rate (%)</w:t>
            </w:r>
          </w:p>
        </w:tc>
        <w:tc>
          <w:tcPr>
            <w:tcW w:w="940" w:type="pct"/>
            <w:shd w:val="clear" w:color="auto" w:fill="auto"/>
            <w:noWrap/>
            <w:vAlign w:val="bottom"/>
            <w:hideMark/>
          </w:tcPr>
          <w:p w:rsidR="0098773A" w:rsidRPr="008F1C27" w:rsidRDefault="0098773A" w:rsidP="00902499">
            <w:pPr>
              <w:jc w:val="both"/>
            </w:pPr>
            <w:r w:rsidRPr="008F1C27">
              <w:rPr>
                <w:sz w:val="22"/>
                <w:szCs w:val="22"/>
              </w:rPr>
              <w:t>18.7</w:t>
            </w:r>
            <w:r w:rsidRPr="008F1C27">
              <w:rPr>
                <w:sz w:val="22"/>
                <w:szCs w:val="22"/>
                <w:vertAlign w:val="superscript"/>
              </w:rPr>
              <w:t>b</w:t>
            </w:r>
            <w:r w:rsidRPr="008F1C27">
              <w:rPr>
                <w:sz w:val="22"/>
                <w:szCs w:val="22"/>
              </w:rPr>
              <w:t xml:space="preserve"> ± 18.7</w:t>
            </w:r>
          </w:p>
        </w:tc>
        <w:tc>
          <w:tcPr>
            <w:tcW w:w="846" w:type="pct"/>
            <w:shd w:val="clear" w:color="auto" w:fill="auto"/>
            <w:noWrap/>
            <w:vAlign w:val="bottom"/>
            <w:hideMark/>
          </w:tcPr>
          <w:p w:rsidR="0098773A" w:rsidRPr="008F1C27" w:rsidRDefault="0098773A" w:rsidP="00902499">
            <w:pPr>
              <w:jc w:val="both"/>
            </w:pPr>
            <w:r w:rsidRPr="008F1C27">
              <w:rPr>
                <w:sz w:val="22"/>
                <w:szCs w:val="22"/>
              </w:rPr>
              <w:t>76.7</w:t>
            </w:r>
            <w:r w:rsidRPr="008F1C27">
              <w:rPr>
                <w:sz w:val="22"/>
                <w:szCs w:val="22"/>
                <w:vertAlign w:val="superscript"/>
              </w:rPr>
              <w:t>a</w:t>
            </w:r>
            <w:r w:rsidRPr="008F1C27">
              <w:rPr>
                <w:sz w:val="22"/>
                <w:szCs w:val="22"/>
              </w:rPr>
              <w:t xml:space="preserve"> ± 16.5</w:t>
            </w:r>
          </w:p>
        </w:tc>
        <w:tc>
          <w:tcPr>
            <w:tcW w:w="846" w:type="pct"/>
            <w:shd w:val="clear" w:color="auto" w:fill="auto"/>
            <w:noWrap/>
            <w:vAlign w:val="bottom"/>
            <w:hideMark/>
          </w:tcPr>
          <w:p w:rsidR="0098773A" w:rsidRPr="008F1C27" w:rsidRDefault="0098773A" w:rsidP="00902499">
            <w:pPr>
              <w:jc w:val="both"/>
            </w:pPr>
            <w:r w:rsidRPr="008F1C27">
              <w:rPr>
                <w:sz w:val="22"/>
                <w:szCs w:val="22"/>
              </w:rPr>
              <w:t>89.2</w:t>
            </w:r>
            <w:r w:rsidRPr="008F1C27">
              <w:rPr>
                <w:sz w:val="22"/>
                <w:szCs w:val="22"/>
                <w:vertAlign w:val="superscript"/>
              </w:rPr>
              <w:t>a</w:t>
            </w:r>
            <w:r w:rsidRPr="008F1C27">
              <w:rPr>
                <w:sz w:val="22"/>
                <w:szCs w:val="22"/>
              </w:rPr>
              <w:t xml:space="preserve"> ± 2.7</w:t>
            </w:r>
          </w:p>
        </w:tc>
        <w:tc>
          <w:tcPr>
            <w:tcW w:w="572" w:type="pct"/>
            <w:shd w:val="clear" w:color="auto" w:fill="auto"/>
            <w:noWrap/>
            <w:vAlign w:val="bottom"/>
            <w:hideMark/>
          </w:tcPr>
          <w:p w:rsidR="0098773A" w:rsidRPr="008F1C27" w:rsidRDefault="0098773A" w:rsidP="00902499">
            <w:pPr>
              <w:jc w:val="both"/>
            </w:pPr>
            <w:r w:rsidRPr="008F1C27">
              <w:rPr>
                <w:sz w:val="22"/>
                <w:szCs w:val="22"/>
              </w:rPr>
              <w:t>0.001</w:t>
            </w:r>
          </w:p>
        </w:tc>
      </w:tr>
      <w:tr w:rsidR="0098773A" w:rsidRPr="008F1C27" w:rsidTr="00902499">
        <w:trPr>
          <w:trHeight w:val="300"/>
        </w:trPr>
        <w:tc>
          <w:tcPr>
            <w:tcW w:w="1797" w:type="pct"/>
            <w:tcBorders>
              <w:bottom w:val="single" w:sz="4" w:space="0" w:color="auto"/>
            </w:tcBorders>
            <w:shd w:val="clear" w:color="auto" w:fill="auto"/>
            <w:noWrap/>
            <w:vAlign w:val="bottom"/>
            <w:hideMark/>
          </w:tcPr>
          <w:p w:rsidR="0098773A" w:rsidRPr="008F1C27" w:rsidRDefault="0098773A" w:rsidP="00902499">
            <w:pPr>
              <w:jc w:val="both"/>
            </w:pPr>
            <w:r w:rsidRPr="008F1C27">
              <w:rPr>
                <w:sz w:val="22"/>
                <w:szCs w:val="22"/>
              </w:rPr>
              <w:t>Sperm concentration (10</w:t>
            </w:r>
            <w:r w:rsidRPr="008F1C27">
              <w:rPr>
                <w:sz w:val="22"/>
                <w:szCs w:val="22"/>
                <w:vertAlign w:val="superscript"/>
              </w:rPr>
              <w:t>6</w:t>
            </w:r>
            <w:r w:rsidRPr="008F1C27">
              <w:rPr>
                <w:sz w:val="22"/>
                <w:szCs w:val="22"/>
              </w:rPr>
              <w:t>/ml)</w:t>
            </w:r>
          </w:p>
        </w:tc>
        <w:tc>
          <w:tcPr>
            <w:tcW w:w="940" w:type="pct"/>
            <w:tcBorders>
              <w:bottom w:val="single" w:sz="4" w:space="0" w:color="auto"/>
            </w:tcBorders>
            <w:shd w:val="clear" w:color="auto" w:fill="auto"/>
            <w:noWrap/>
            <w:vAlign w:val="bottom"/>
            <w:hideMark/>
          </w:tcPr>
          <w:p w:rsidR="0098773A" w:rsidRPr="008F1C27" w:rsidRDefault="0098773A" w:rsidP="00902499">
            <w:pPr>
              <w:jc w:val="both"/>
            </w:pPr>
            <w:r w:rsidRPr="008F1C27">
              <w:rPr>
                <w:sz w:val="22"/>
                <w:szCs w:val="22"/>
              </w:rPr>
              <w:t>220.3 ± 269</w:t>
            </w:r>
          </w:p>
        </w:tc>
        <w:tc>
          <w:tcPr>
            <w:tcW w:w="846" w:type="pct"/>
            <w:tcBorders>
              <w:bottom w:val="single" w:sz="4" w:space="0" w:color="auto"/>
            </w:tcBorders>
            <w:shd w:val="clear" w:color="auto" w:fill="auto"/>
            <w:noWrap/>
            <w:vAlign w:val="bottom"/>
            <w:hideMark/>
          </w:tcPr>
          <w:p w:rsidR="0098773A" w:rsidRPr="008F1C27" w:rsidRDefault="0098773A" w:rsidP="00902499">
            <w:pPr>
              <w:jc w:val="both"/>
            </w:pPr>
            <w:r w:rsidRPr="008F1C27">
              <w:rPr>
                <w:sz w:val="22"/>
                <w:szCs w:val="22"/>
              </w:rPr>
              <w:t>272.5 ± 264</w:t>
            </w:r>
          </w:p>
        </w:tc>
        <w:tc>
          <w:tcPr>
            <w:tcW w:w="846" w:type="pct"/>
            <w:tcBorders>
              <w:bottom w:val="single" w:sz="4" w:space="0" w:color="auto"/>
            </w:tcBorders>
            <w:shd w:val="clear" w:color="auto" w:fill="auto"/>
            <w:noWrap/>
            <w:vAlign w:val="bottom"/>
            <w:hideMark/>
          </w:tcPr>
          <w:p w:rsidR="0098773A" w:rsidRPr="008F1C27" w:rsidRDefault="0098773A" w:rsidP="00902499">
            <w:pPr>
              <w:jc w:val="both"/>
            </w:pPr>
            <w:r w:rsidRPr="008F1C27">
              <w:rPr>
                <w:sz w:val="22"/>
                <w:szCs w:val="22"/>
              </w:rPr>
              <w:t>176.7 ± 90</w:t>
            </w:r>
          </w:p>
        </w:tc>
        <w:tc>
          <w:tcPr>
            <w:tcW w:w="572" w:type="pct"/>
            <w:tcBorders>
              <w:bottom w:val="single" w:sz="4" w:space="0" w:color="auto"/>
            </w:tcBorders>
            <w:shd w:val="clear" w:color="auto" w:fill="auto"/>
            <w:noWrap/>
            <w:vAlign w:val="bottom"/>
            <w:hideMark/>
          </w:tcPr>
          <w:p w:rsidR="0098773A" w:rsidRPr="008F1C27" w:rsidRDefault="0098773A" w:rsidP="00902499">
            <w:pPr>
              <w:jc w:val="both"/>
            </w:pPr>
            <w:r w:rsidRPr="008F1C27">
              <w:rPr>
                <w:sz w:val="22"/>
                <w:szCs w:val="22"/>
              </w:rPr>
              <w:t>0.7</w:t>
            </w:r>
          </w:p>
        </w:tc>
      </w:tr>
    </w:tbl>
    <w:p w:rsidR="0098773A" w:rsidRPr="008F1C27" w:rsidRDefault="0098773A" w:rsidP="0098773A">
      <w:pPr>
        <w:jc w:val="both"/>
        <w:rPr>
          <w:sz w:val="22"/>
          <w:szCs w:val="22"/>
        </w:rPr>
      </w:pPr>
      <w:proofErr w:type="spellStart"/>
      <w:r w:rsidRPr="008F1C27">
        <w:rPr>
          <w:sz w:val="22"/>
          <w:szCs w:val="22"/>
          <w:vertAlign w:val="superscript"/>
        </w:rPr>
        <w:t>a,b</w:t>
      </w:r>
      <w:proofErr w:type="spellEnd"/>
      <w:r w:rsidRPr="008F1C27">
        <w:rPr>
          <w:sz w:val="22"/>
          <w:szCs w:val="22"/>
        </w:rPr>
        <w:t xml:space="preserve"> Values with different superscripts in a row differ significantly (</w:t>
      </w:r>
      <w:r w:rsidRPr="008F1C27">
        <w:rPr>
          <w:i/>
          <w:iCs/>
          <w:sz w:val="22"/>
          <w:szCs w:val="22"/>
        </w:rPr>
        <w:t xml:space="preserve">P </w:t>
      </w:r>
      <w:r w:rsidRPr="008F1C27">
        <w:rPr>
          <w:sz w:val="22"/>
          <w:szCs w:val="22"/>
        </w:rPr>
        <w:t>&lt; 0.05).</w:t>
      </w:r>
    </w:p>
    <w:p w:rsidR="0098773A" w:rsidRPr="008F1C27" w:rsidRDefault="0098773A" w:rsidP="0098773A">
      <w:pPr>
        <w:jc w:val="both"/>
        <w:rPr>
          <w:sz w:val="22"/>
          <w:szCs w:val="22"/>
        </w:rPr>
      </w:pPr>
    </w:p>
    <w:p w:rsidR="0098773A" w:rsidRPr="008F1C27" w:rsidRDefault="0098773A" w:rsidP="0098773A">
      <w:pPr>
        <w:jc w:val="center"/>
        <w:rPr>
          <w:sz w:val="22"/>
          <w:szCs w:val="22"/>
        </w:rPr>
        <w:sectPr w:rsidR="0098773A" w:rsidRPr="008F1C27" w:rsidSect="00902499">
          <w:pgSz w:w="12240" w:h="15840"/>
          <w:pgMar w:top="1440" w:right="1800" w:bottom="1440" w:left="1800" w:header="720" w:footer="720" w:gutter="0"/>
          <w:cols w:space="720"/>
          <w:docGrid w:linePitch="360"/>
        </w:sectPr>
      </w:pPr>
    </w:p>
    <w:p w:rsidR="0098773A" w:rsidRPr="008F1C27" w:rsidRDefault="0098773A" w:rsidP="0098773A">
      <w:pPr>
        <w:jc w:val="center"/>
        <w:rPr>
          <w:sz w:val="22"/>
          <w:szCs w:val="22"/>
        </w:rPr>
      </w:pPr>
      <w:r w:rsidRPr="008F1C27">
        <w:rPr>
          <w:noProof/>
          <w:sz w:val="22"/>
          <w:szCs w:val="22"/>
          <w:lang w:val="en-US" w:eastAsia="en-US"/>
        </w:rPr>
        <w:drawing>
          <wp:inline distT="0" distB="0" distL="0" distR="0">
            <wp:extent cx="1888074" cy="1518834"/>
            <wp:effectExtent l="25400" t="25400" r="17145" b="31115"/>
            <wp:docPr id="104" name="Picture 1" descr="D:\kak yong's\analisis\Ex2male\Ex2 male paper\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 yong's\analisis\Ex2male\Ex2 male paper\Figure 1A.tif"/>
                    <pic:cNvPicPr>
                      <a:picLocks noChangeAspect="1" noChangeArrowheads="1"/>
                    </pic:cNvPicPr>
                  </pic:nvPicPr>
                  <pic:blipFill>
                    <a:blip r:embed="rId8"/>
                    <a:srcRect/>
                    <a:stretch>
                      <a:fillRect/>
                    </a:stretch>
                  </pic:blipFill>
                  <pic:spPr bwMode="auto">
                    <a:xfrm>
                      <a:off x="0" y="0"/>
                      <a:ext cx="1889890" cy="1520294"/>
                    </a:xfrm>
                    <a:prstGeom prst="rect">
                      <a:avLst/>
                    </a:prstGeom>
                    <a:noFill/>
                    <a:ln w="9525">
                      <a:solidFill>
                        <a:schemeClr val="tx1"/>
                      </a:solidFill>
                      <a:miter lim="800000"/>
                      <a:headEnd/>
                      <a:tailEnd/>
                    </a:ln>
                  </pic:spPr>
                </pic:pic>
              </a:graphicData>
            </a:graphic>
          </wp:inline>
        </w:drawing>
      </w:r>
    </w:p>
    <w:p w:rsidR="0098773A" w:rsidRPr="008F1C27" w:rsidRDefault="0098773A" w:rsidP="0098773A">
      <w:pPr>
        <w:jc w:val="center"/>
        <w:rPr>
          <w:sz w:val="22"/>
          <w:szCs w:val="22"/>
        </w:rPr>
        <w:sectPr w:rsidR="0098773A" w:rsidRPr="008F1C27" w:rsidSect="00902499">
          <w:type w:val="continuous"/>
          <w:pgSz w:w="12240" w:h="15840"/>
          <w:pgMar w:top="1440" w:right="1800" w:bottom="1440" w:left="1800" w:header="720" w:footer="720" w:gutter="0"/>
          <w:cols w:num="2" w:space="720"/>
          <w:docGrid w:linePitch="360"/>
        </w:sectPr>
      </w:pPr>
      <w:r w:rsidRPr="008F1C27">
        <w:rPr>
          <w:noProof/>
          <w:sz w:val="22"/>
          <w:szCs w:val="22"/>
          <w:lang w:val="en-US" w:eastAsia="en-US"/>
        </w:rPr>
        <w:drawing>
          <wp:inline distT="0" distB="0" distL="0" distR="0">
            <wp:extent cx="1873485" cy="1487318"/>
            <wp:effectExtent l="25400" t="25400" r="31750" b="36830"/>
            <wp:docPr id="105" name="Picture 2" descr="D:\kak yong's\analisis\Ex2male\Ex2 male paper\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k yong's\analisis\Ex2male\Ex2 male paper\Figure 1B.tif"/>
                    <pic:cNvPicPr>
                      <a:picLocks noChangeAspect="1" noChangeArrowheads="1"/>
                    </pic:cNvPicPr>
                  </pic:nvPicPr>
                  <pic:blipFill>
                    <a:blip r:embed="rId9"/>
                    <a:srcRect/>
                    <a:stretch>
                      <a:fillRect/>
                    </a:stretch>
                  </pic:blipFill>
                  <pic:spPr bwMode="auto">
                    <a:xfrm>
                      <a:off x="0" y="0"/>
                      <a:ext cx="1874744" cy="1488317"/>
                    </a:xfrm>
                    <a:prstGeom prst="rect">
                      <a:avLst/>
                    </a:prstGeom>
                    <a:noFill/>
                    <a:ln w="9525">
                      <a:solidFill>
                        <a:schemeClr val="tx1"/>
                      </a:solidFill>
                      <a:miter lim="800000"/>
                      <a:headEnd/>
                      <a:tailEnd/>
                    </a:ln>
                  </pic:spPr>
                </pic:pic>
              </a:graphicData>
            </a:graphic>
          </wp:inline>
        </w:drawing>
      </w:r>
    </w:p>
    <w:p w:rsidR="0098773A" w:rsidRPr="008F1C27" w:rsidRDefault="0098773A" w:rsidP="0098773A">
      <w:pPr>
        <w:jc w:val="both"/>
        <w:rPr>
          <w:b/>
          <w:sz w:val="22"/>
          <w:szCs w:val="22"/>
        </w:rPr>
      </w:pPr>
      <w:r w:rsidRPr="008F1C27">
        <w:rPr>
          <w:b/>
          <w:sz w:val="22"/>
          <w:szCs w:val="22"/>
        </w:rPr>
        <w:t xml:space="preserve">Figure 1: </w:t>
      </w:r>
      <w:proofErr w:type="spellStart"/>
      <w:r w:rsidRPr="008F1C27">
        <w:rPr>
          <w:b/>
          <w:sz w:val="22"/>
          <w:szCs w:val="22"/>
        </w:rPr>
        <w:t>ZnAA</w:t>
      </w:r>
      <w:proofErr w:type="spellEnd"/>
      <w:r w:rsidRPr="008F1C27">
        <w:rPr>
          <w:b/>
          <w:sz w:val="22"/>
          <w:szCs w:val="22"/>
        </w:rPr>
        <w:t xml:space="preserve"> concentration in bone (A) and mean gonadosomatic index (B) of male </w:t>
      </w:r>
      <w:r w:rsidRPr="008F1C27">
        <w:rPr>
          <w:b/>
          <w:i/>
          <w:sz w:val="22"/>
          <w:szCs w:val="22"/>
        </w:rPr>
        <w:t>C. macrocephalus</w:t>
      </w:r>
      <w:r w:rsidRPr="008F1C27">
        <w:rPr>
          <w:b/>
          <w:sz w:val="22"/>
          <w:szCs w:val="22"/>
        </w:rPr>
        <w:t xml:space="preserve"> after eight weeks of </w:t>
      </w:r>
      <w:proofErr w:type="spellStart"/>
      <w:r w:rsidRPr="008F1C27">
        <w:rPr>
          <w:b/>
          <w:sz w:val="22"/>
          <w:szCs w:val="22"/>
        </w:rPr>
        <w:t>ZnAA</w:t>
      </w:r>
      <w:proofErr w:type="spellEnd"/>
      <w:r w:rsidRPr="008F1C27">
        <w:rPr>
          <w:b/>
          <w:sz w:val="22"/>
          <w:szCs w:val="22"/>
        </w:rPr>
        <w:t xml:space="preserve"> treatment. Values are expressed as mean ± SEM (n = 6/treatment). p&lt; 0.05</w:t>
      </w:r>
    </w:p>
    <w:p w:rsidR="0098773A" w:rsidRPr="008F1C27" w:rsidRDefault="0098773A" w:rsidP="0098773A">
      <w:pPr>
        <w:jc w:val="both"/>
        <w:rPr>
          <w:sz w:val="22"/>
          <w:szCs w:val="22"/>
        </w:rPr>
      </w:pPr>
    </w:p>
    <w:p w:rsidR="0098773A" w:rsidRPr="008F1C27" w:rsidRDefault="0098773A" w:rsidP="0098773A">
      <w:pPr>
        <w:jc w:val="both"/>
        <w:rPr>
          <w:sz w:val="22"/>
          <w:szCs w:val="22"/>
        </w:rPr>
        <w:sectPr w:rsidR="0098773A" w:rsidRPr="008F1C27" w:rsidSect="00902499">
          <w:type w:val="continuous"/>
          <w:pgSz w:w="12240" w:h="15840"/>
          <w:pgMar w:top="1440" w:right="1800" w:bottom="1440" w:left="1800" w:header="720" w:footer="720" w:gutter="0"/>
          <w:cols w:space="720"/>
          <w:docGrid w:linePitch="360"/>
        </w:sectPr>
      </w:pPr>
    </w:p>
    <w:p w:rsidR="0098773A" w:rsidRPr="008F1C27" w:rsidRDefault="0098773A" w:rsidP="0098773A">
      <w:pPr>
        <w:jc w:val="both"/>
        <w:rPr>
          <w:sz w:val="22"/>
          <w:szCs w:val="22"/>
        </w:rPr>
      </w:pPr>
      <w:r w:rsidRPr="008F1C27">
        <w:rPr>
          <w:noProof/>
          <w:sz w:val="22"/>
          <w:szCs w:val="22"/>
          <w:lang w:val="en-US" w:eastAsia="en-US"/>
        </w:rPr>
        <w:drawing>
          <wp:inline distT="0" distB="0" distL="0" distR="0">
            <wp:extent cx="1703521" cy="1362818"/>
            <wp:effectExtent l="25400" t="25400" r="24130" b="34290"/>
            <wp:docPr id="106" name="Picture 6" descr="D:\kak yong's\histology\Ex2 male paper\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k yong's\histology\Ex2 male paper\Figure 2A.tif"/>
                    <pic:cNvPicPr>
                      <a:picLocks noChangeAspect="1" noChangeArrowheads="1"/>
                    </pic:cNvPicPr>
                  </pic:nvPicPr>
                  <pic:blipFill>
                    <a:blip r:embed="rId10" cstate="print"/>
                    <a:srcRect/>
                    <a:stretch>
                      <a:fillRect/>
                    </a:stretch>
                  </pic:blipFill>
                  <pic:spPr bwMode="auto">
                    <a:xfrm>
                      <a:off x="0" y="0"/>
                      <a:ext cx="1703829" cy="1363064"/>
                    </a:xfrm>
                    <a:prstGeom prst="rect">
                      <a:avLst/>
                    </a:prstGeom>
                    <a:noFill/>
                    <a:ln w="9525">
                      <a:solidFill>
                        <a:schemeClr val="tx1"/>
                      </a:solidFill>
                      <a:miter lim="800000"/>
                      <a:headEnd/>
                      <a:tailEnd/>
                    </a:ln>
                  </pic:spPr>
                </pic:pic>
              </a:graphicData>
            </a:graphic>
          </wp:inline>
        </w:drawing>
      </w:r>
    </w:p>
    <w:p w:rsidR="0098773A" w:rsidRPr="008F1C27" w:rsidRDefault="0098773A" w:rsidP="0098773A">
      <w:pPr>
        <w:jc w:val="both"/>
        <w:rPr>
          <w:sz w:val="22"/>
          <w:szCs w:val="22"/>
        </w:rPr>
      </w:pPr>
      <w:r w:rsidRPr="008F1C27">
        <w:rPr>
          <w:noProof/>
          <w:sz w:val="22"/>
          <w:szCs w:val="22"/>
          <w:lang w:val="en-US" w:eastAsia="en-US"/>
        </w:rPr>
        <w:drawing>
          <wp:inline distT="0" distB="0" distL="0" distR="0">
            <wp:extent cx="1699971" cy="1359976"/>
            <wp:effectExtent l="25400" t="25400" r="27305" b="37465"/>
            <wp:docPr id="107" name="Picture 7" descr="D:\kak yong's\histology\Ex2 male paper\Fig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ak yong's\histology\Ex2 male paper\Figure 2B.tif"/>
                    <pic:cNvPicPr>
                      <a:picLocks noChangeAspect="1" noChangeArrowheads="1"/>
                    </pic:cNvPicPr>
                  </pic:nvPicPr>
                  <pic:blipFill>
                    <a:blip r:embed="rId11" cstate="print"/>
                    <a:srcRect/>
                    <a:stretch>
                      <a:fillRect/>
                    </a:stretch>
                  </pic:blipFill>
                  <pic:spPr bwMode="auto">
                    <a:xfrm>
                      <a:off x="0" y="0"/>
                      <a:ext cx="1702251" cy="1361800"/>
                    </a:xfrm>
                    <a:prstGeom prst="rect">
                      <a:avLst/>
                    </a:prstGeom>
                    <a:noFill/>
                    <a:ln w="9525">
                      <a:solidFill>
                        <a:schemeClr val="tx1"/>
                      </a:solidFill>
                      <a:miter lim="800000"/>
                      <a:headEnd/>
                      <a:tailEnd/>
                    </a:ln>
                  </pic:spPr>
                </pic:pic>
              </a:graphicData>
            </a:graphic>
          </wp:inline>
        </w:drawing>
      </w:r>
    </w:p>
    <w:p w:rsidR="0098773A" w:rsidRPr="008F1C27" w:rsidRDefault="0098773A" w:rsidP="0098773A">
      <w:pPr>
        <w:jc w:val="both"/>
        <w:rPr>
          <w:sz w:val="22"/>
          <w:szCs w:val="22"/>
        </w:rPr>
      </w:pPr>
      <w:r w:rsidRPr="008F1C27">
        <w:rPr>
          <w:noProof/>
          <w:sz w:val="22"/>
          <w:szCs w:val="22"/>
          <w:lang w:val="en-US" w:eastAsia="en-US"/>
        </w:rPr>
        <w:drawing>
          <wp:inline distT="0" distB="0" distL="0" distR="0">
            <wp:extent cx="1699971" cy="1359976"/>
            <wp:effectExtent l="25400" t="25400" r="27305" b="37465"/>
            <wp:docPr id="108" name="Picture 8" descr="D:\kak yong's\histology\Ex2 male paper\Figure 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ak yong's\histology\Ex2 male paper\Figure 2C.tif"/>
                    <pic:cNvPicPr>
                      <a:picLocks noChangeAspect="1" noChangeArrowheads="1"/>
                    </pic:cNvPicPr>
                  </pic:nvPicPr>
                  <pic:blipFill>
                    <a:blip r:embed="rId12" cstate="print"/>
                    <a:srcRect/>
                    <a:stretch>
                      <a:fillRect/>
                    </a:stretch>
                  </pic:blipFill>
                  <pic:spPr bwMode="auto">
                    <a:xfrm>
                      <a:off x="0" y="0"/>
                      <a:ext cx="1702182" cy="1361745"/>
                    </a:xfrm>
                    <a:prstGeom prst="rect">
                      <a:avLst/>
                    </a:prstGeom>
                    <a:noFill/>
                    <a:ln w="9525">
                      <a:solidFill>
                        <a:schemeClr val="tx1"/>
                      </a:solidFill>
                      <a:miter lim="800000"/>
                      <a:headEnd/>
                      <a:tailEnd/>
                    </a:ln>
                  </pic:spPr>
                </pic:pic>
              </a:graphicData>
            </a:graphic>
          </wp:inline>
        </w:drawing>
      </w:r>
    </w:p>
    <w:p w:rsidR="0098773A" w:rsidRPr="008F1C27" w:rsidRDefault="0098773A" w:rsidP="0098773A">
      <w:pPr>
        <w:jc w:val="both"/>
        <w:rPr>
          <w:sz w:val="22"/>
          <w:szCs w:val="22"/>
        </w:rPr>
        <w:sectPr w:rsidR="0098773A" w:rsidRPr="008F1C27" w:rsidSect="00902499">
          <w:type w:val="continuous"/>
          <w:pgSz w:w="12240" w:h="15840"/>
          <w:pgMar w:top="1440" w:right="1800" w:bottom="1440" w:left="1800" w:header="720" w:footer="720" w:gutter="0"/>
          <w:cols w:num="3" w:space="720"/>
          <w:docGrid w:linePitch="360"/>
        </w:sectPr>
      </w:pPr>
    </w:p>
    <w:p w:rsidR="00267596" w:rsidRDefault="0098773A" w:rsidP="00267596">
      <w:pPr>
        <w:jc w:val="both"/>
        <w:rPr>
          <w:b/>
          <w:sz w:val="22"/>
          <w:szCs w:val="22"/>
        </w:rPr>
      </w:pPr>
      <w:r w:rsidRPr="008F1C27">
        <w:rPr>
          <w:b/>
          <w:sz w:val="22"/>
          <w:szCs w:val="22"/>
        </w:rPr>
        <w:t xml:space="preserve">Figure 2: Effect of </w:t>
      </w:r>
      <w:proofErr w:type="spellStart"/>
      <w:r w:rsidRPr="008F1C27">
        <w:rPr>
          <w:b/>
          <w:sz w:val="22"/>
          <w:szCs w:val="22"/>
        </w:rPr>
        <w:t>ZnAA</w:t>
      </w:r>
      <w:proofErr w:type="spellEnd"/>
      <w:r w:rsidRPr="008F1C27">
        <w:rPr>
          <w:b/>
          <w:sz w:val="22"/>
          <w:szCs w:val="22"/>
        </w:rPr>
        <w:t xml:space="preserve"> treatment on testis histology of the </w:t>
      </w:r>
      <w:r w:rsidRPr="008F1C27">
        <w:rPr>
          <w:b/>
          <w:i/>
          <w:sz w:val="22"/>
          <w:szCs w:val="22"/>
        </w:rPr>
        <w:t>C. macrocephalus.</w:t>
      </w:r>
      <w:r w:rsidRPr="008F1C27">
        <w:rPr>
          <w:b/>
          <w:sz w:val="22"/>
          <w:szCs w:val="22"/>
        </w:rPr>
        <w:t xml:space="preserve"> Cross section of testis treated with </w:t>
      </w:r>
      <w:proofErr w:type="spellStart"/>
      <w:r w:rsidRPr="008F1C27">
        <w:rPr>
          <w:b/>
          <w:sz w:val="22"/>
          <w:szCs w:val="22"/>
        </w:rPr>
        <w:t>ZnAA</w:t>
      </w:r>
      <w:proofErr w:type="spellEnd"/>
      <w:r w:rsidRPr="008F1C27">
        <w:rPr>
          <w:b/>
          <w:sz w:val="22"/>
          <w:szCs w:val="22"/>
        </w:rPr>
        <w:t xml:space="preserve"> and control: A) Control, B) ZnAA1 and C) ZnAA2. Spermatogonia (SG), and spermatozoa (SZ) scale bar: 1</w:t>
      </w:r>
    </w:p>
    <w:p w:rsidR="00267596" w:rsidRDefault="00267596" w:rsidP="00267596">
      <w:pPr>
        <w:jc w:val="both"/>
        <w:rPr>
          <w:b/>
          <w:sz w:val="22"/>
          <w:szCs w:val="22"/>
        </w:rPr>
      </w:pPr>
    </w:p>
    <w:p w:rsidR="00267596" w:rsidRDefault="00267596" w:rsidP="00267596">
      <w:pPr>
        <w:jc w:val="both"/>
        <w:rPr>
          <w:b/>
          <w:sz w:val="22"/>
          <w:szCs w:val="22"/>
        </w:rPr>
      </w:pPr>
    </w:p>
    <w:p w:rsidR="00267596" w:rsidRPr="008F1C27" w:rsidRDefault="00267596" w:rsidP="00267596">
      <w:pPr>
        <w:rPr>
          <w:b/>
          <w:bCs/>
          <w:sz w:val="22"/>
          <w:szCs w:val="22"/>
          <w:lang w:val="en-US"/>
        </w:rPr>
      </w:pPr>
      <w:r w:rsidRPr="008F1C27">
        <w:rPr>
          <w:b/>
          <w:bCs/>
          <w:sz w:val="22"/>
          <w:szCs w:val="22"/>
          <w:lang w:val="en-US"/>
        </w:rPr>
        <w:t>Conclusion</w:t>
      </w:r>
    </w:p>
    <w:p w:rsidR="00267596" w:rsidRPr="008F1C27" w:rsidRDefault="00267596" w:rsidP="00267596">
      <w:pPr>
        <w:rPr>
          <w:b/>
          <w:bCs/>
          <w:sz w:val="22"/>
          <w:szCs w:val="22"/>
          <w:lang w:val="en-US"/>
        </w:rPr>
      </w:pPr>
    </w:p>
    <w:p w:rsidR="00267596" w:rsidRPr="008F1C27" w:rsidRDefault="00267596" w:rsidP="00267596">
      <w:pPr>
        <w:jc w:val="both"/>
        <w:rPr>
          <w:sz w:val="22"/>
          <w:szCs w:val="22"/>
          <w:lang w:val="en-US"/>
        </w:rPr>
      </w:pPr>
      <w:r w:rsidRPr="008F1C27">
        <w:rPr>
          <w:sz w:val="22"/>
          <w:szCs w:val="22"/>
          <w:lang w:val="en-US"/>
        </w:rPr>
        <w:t xml:space="preserve">The recent study indicated that the optimum zinc amino acid treatment in enhancing the </w:t>
      </w:r>
      <w:proofErr w:type="spellStart"/>
      <w:r w:rsidRPr="008F1C27">
        <w:rPr>
          <w:i/>
          <w:iCs/>
          <w:sz w:val="22"/>
          <w:szCs w:val="22"/>
          <w:lang w:val="en-US"/>
        </w:rPr>
        <w:t>Clariasmacrocephalus</w:t>
      </w:r>
      <w:r w:rsidRPr="008F1C27">
        <w:rPr>
          <w:sz w:val="22"/>
          <w:szCs w:val="22"/>
          <w:lang w:val="en-US"/>
        </w:rPr>
        <w:t>male</w:t>
      </w:r>
      <w:proofErr w:type="spellEnd"/>
      <w:r w:rsidRPr="008F1C27">
        <w:rPr>
          <w:sz w:val="22"/>
          <w:szCs w:val="22"/>
          <w:lang w:val="en-US"/>
        </w:rPr>
        <w:t xml:space="preserve"> maturation and sperm quality is ZnAA2 (200 ppm </w:t>
      </w:r>
      <w:proofErr w:type="spellStart"/>
      <w:r w:rsidRPr="008F1C27">
        <w:rPr>
          <w:sz w:val="22"/>
          <w:szCs w:val="22"/>
          <w:lang w:val="en-US"/>
        </w:rPr>
        <w:t>ZnAA</w:t>
      </w:r>
      <w:proofErr w:type="spellEnd"/>
      <w:r w:rsidRPr="008F1C27">
        <w:rPr>
          <w:sz w:val="22"/>
          <w:szCs w:val="22"/>
          <w:lang w:val="en-US"/>
        </w:rPr>
        <w:t>).</w:t>
      </w:r>
    </w:p>
    <w:p w:rsidR="00267596" w:rsidRPr="008F1C27" w:rsidRDefault="00267596" w:rsidP="00267596">
      <w:pPr>
        <w:jc w:val="both"/>
        <w:rPr>
          <w:sz w:val="22"/>
          <w:szCs w:val="22"/>
        </w:rPr>
      </w:pPr>
    </w:p>
    <w:p w:rsidR="00267596" w:rsidRPr="008F1C27" w:rsidRDefault="00267596" w:rsidP="00267596">
      <w:pPr>
        <w:rPr>
          <w:b/>
          <w:sz w:val="22"/>
          <w:szCs w:val="22"/>
          <w:lang w:val="en-US"/>
        </w:rPr>
      </w:pPr>
      <w:r w:rsidRPr="008F1C27">
        <w:rPr>
          <w:b/>
          <w:sz w:val="22"/>
          <w:szCs w:val="22"/>
          <w:lang w:val="en-US"/>
        </w:rPr>
        <w:t>References</w:t>
      </w:r>
    </w:p>
    <w:p w:rsidR="00267596" w:rsidRPr="008F1C27" w:rsidRDefault="00267596" w:rsidP="00267596">
      <w:pPr>
        <w:rPr>
          <w:b/>
          <w:sz w:val="22"/>
          <w:szCs w:val="22"/>
          <w:lang w:val="en-US"/>
        </w:rPr>
      </w:pPr>
    </w:p>
    <w:p w:rsidR="00267596" w:rsidRPr="008F1C27" w:rsidRDefault="00267596" w:rsidP="00267596">
      <w:pPr>
        <w:ind w:left="360" w:hanging="360"/>
        <w:jc w:val="both"/>
        <w:rPr>
          <w:sz w:val="22"/>
          <w:szCs w:val="22"/>
        </w:rPr>
      </w:pPr>
      <w:proofErr w:type="spellStart"/>
      <w:r w:rsidRPr="008F1C27">
        <w:rPr>
          <w:sz w:val="22"/>
          <w:szCs w:val="22"/>
        </w:rPr>
        <w:t>Areerat</w:t>
      </w:r>
      <w:proofErr w:type="spellEnd"/>
      <w:r w:rsidRPr="008F1C27">
        <w:rPr>
          <w:sz w:val="22"/>
          <w:szCs w:val="22"/>
        </w:rPr>
        <w:t xml:space="preserve">, S. 1987. </w:t>
      </w:r>
      <w:proofErr w:type="spellStart"/>
      <w:r w:rsidRPr="008F1C27">
        <w:rPr>
          <w:i/>
          <w:iCs/>
          <w:sz w:val="22"/>
          <w:szCs w:val="22"/>
        </w:rPr>
        <w:t>Clarias</w:t>
      </w:r>
      <w:r w:rsidRPr="008F1C27">
        <w:rPr>
          <w:sz w:val="22"/>
          <w:szCs w:val="22"/>
        </w:rPr>
        <w:t>culture</w:t>
      </w:r>
      <w:proofErr w:type="spellEnd"/>
      <w:r w:rsidRPr="008F1C27">
        <w:rPr>
          <w:sz w:val="22"/>
          <w:szCs w:val="22"/>
        </w:rPr>
        <w:t xml:space="preserve"> in Thailand. </w:t>
      </w:r>
      <w:r w:rsidRPr="008F1C27">
        <w:rPr>
          <w:i/>
          <w:sz w:val="22"/>
          <w:szCs w:val="22"/>
        </w:rPr>
        <w:t>Aquaculture</w:t>
      </w:r>
      <w:r w:rsidRPr="008F1C27">
        <w:rPr>
          <w:sz w:val="22"/>
          <w:szCs w:val="22"/>
        </w:rPr>
        <w:t xml:space="preserve"> 63: 205–214</w:t>
      </w:r>
    </w:p>
    <w:p w:rsidR="00267596" w:rsidRPr="008F1C27" w:rsidRDefault="00267596" w:rsidP="00267596">
      <w:pPr>
        <w:ind w:left="360" w:hanging="360"/>
        <w:jc w:val="both"/>
        <w:rPr>
          <w:sz w:val="22"/>
          <w:szCs w:val="22"/>
        </w:rPr>
      </w:pPr>
      <w:r w:rsidRPr="008F1C27">
        <w:rPr>
          <w:sz w:val="22"/>
          <w:szCs w:val="22"/>
        </w:rPr>
        <w:t xml:space="preserve">Baker, D. H. and Ammerman, C. B. 1995. Zinc Bioavailability </w:t>
      </w:r>
      <w:r w:rsidRPr="008F1C27">
        <w:rPr>
          <w:i/>
          <w:sz w:val="22"/>
          <w:szCs w:val="22"/>
        </w:rPr>
        <w:t>in</w:t>
      </w:r>
      <w:r w:rsidRPr="008F1C27">
        <w:rPr>
          <w:sz w:val="22"/>
          <w:szCs w:val="22"/>
        </w:rPr>
        <w:t xml:space="preserve"> Bioavailability of Nutrients for animals: amino acids. </w:t>
      </w:r>
      <w:proofErr w:type="spellStart"/>
      <w:r w:rsidRPr="008F1C27">
        <w:rPr>
          <w:sz w:val="22"/>
          <w:szCs w:val="22"/>
        </w:rPr>
        <w:t>Minerals.and</w:t>
      </w:r>
      <w:proofErr w:type="spellEnd"/>
      <w:r w:rsidRPr="008F1C27">
        <w:rPr>
          <w:sz w:val="22"/>
          <w:szCs w:val="22"/>
        </w:rPr>
        <w:t xml:space="preserve"> vitamins. </w:t>
      </w:r>
      <w:r w:rsidRPr="008F1C27">
        <w:rPr>
          <w:i/>
          <w:sz w:val="22"/>
          <w:szCs w:val="22"/>
        </w:rPr>
        <w:t>Academic Press. Inc.</w:t>
      </w:r>
      <w:r w:rsidRPr="008F1C27">
        <w:rPr>
          <w:sz w:val="22"/>
          <w:szCs w:val="22"/>
        </w:rPr>
        <w:t xml:space="preserve"> 367 – 398</w:t>
      </w:r>
    </w:p>
    <w:p w:rsidR="00267596" w:rsidRPr="00267596" w:rsidRDefault="00267596" w:rsidP="00267596">
      <w:pPr>
        <w:jc w:val="both"/>
        <w:rPr>
          <w:b/>
          <w:sz w:val="22"/>
          <w:szCs w:val="22"/>
        </w:rPr>
        <w:sectPr w:rsidR="00267596" w:rsidRPr="00267596" w:rsidSect="00902499">
          <w:type w:val="continuous"/>
          <w:pgSz w:w="12240" w:h="15840"/>
          <w:pgMar w:top="1440" w:right="1800" w:bottom="1440" w:left="1800" w:header="720" w:footer="720" w:gutter="0"/>
          <w:cols w:space="720"/>
          <w:docGrid w:linePitch="360"/>
        </w:sectPr>
      </w:pPr>
      <w:r w:rsidRPr="008F1C27">
        <w:rPr>
          <w:sz w:val="22"/>
          <w:szCs w:val="22"/>
        </w:rPr>
        <w:t xml:space="preserve">Clearwater, S. J., Farag, A. M., Meyer, J. S. 2002. Bioavailability and toxicity of </w:t>
      </w:r>
      <w:proofErr w:type="spellStart"/>
      <w:r w:rsidRPr="008F1C27">
        <w:rPr>
          <w:sz w:val="22"/>
          <w:szCs w:val="22"/>
        </w:rPr>
        <w:t>dietborne</w:t>
      </w:r>
      <w:proofErr w:type="spellEnd"/>
      <w:r w:rsidRPr="008F1C27">
        <w:rPr>
          <w:sz w:val="22"/>
          <w:szCs w:val="22"/>
        </w:rPr>
        <w:t xml:space="preserve"> copper and zinc to </w:t>
      </w:r>
      <w:proofErr w:type="spellStart"/>
      <w:r w:rsidRPr="008F1C27">
        <w:rPr>
          <w:sz w:val="22"/>
          <w:szCs w:val="22"/>
        </w:rPr>
        <w:t>fis</w:t>
      </w:r>
      <w:r>
        <w:rPr>
          <w:sz w:val="22"/>
          <w:szCs w:val="22"/>
        </w:rPr>
        <w:t>H</w:t>
      </w:r>
      <w:proofErr w:type="spellEnd"/>
      <w:r>
        <w:rPr>
          <w:sz w:val="22"/>
          <w:szCs w:val="22"/>
        </w:rPr>
        <w:t>.</w:t>
      </w:r>
      <w:bookmarkStart w:id="0" w:name="_GoBack"/>
      <w:bookmarkEnd w:id="0"/>
    </w:p>
    <w:p w:rsidR="00267596" w:rsidRDefault="00267596" w:rsidP="00267596">
      <w:pPr>
        <w:jc w:val="both"/>
        <w:rPr>
          <w:sz w:val="22"/>
          <w:szCs w:val="22"/>
        </w:rPr>
      </w:pPr>
    </w:p>
    <w:sectPr w:rsidR="00267596" w:rsidSect="00DB4C0D">
      <w:headerReference w:type="default" r:id="rId13"/>
      <w:footerReference w:type="default" r:id="rId14"/>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9F" w:rsidRDefault="00D3009F" w:rsidP="009265BC">
      <w:r>
        <w:separator/>
      </w:r>
    </w:p>
  </w:endnote>
  <w:endnote w:type="continuationSeparator" w:id="0">
    <w:p w:rsidR="00D3009F" w:rsidRDefault="00D3009F" w:rsidP="009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panose1 w:val="00000000000000000000"/>
    <w:charset w:val="80"/>
    <w:family w:val="roman"/>
    <w:notTrueType/>
    <w:pitch w:val="fixed"/>
    <w:sig w:usb0="00000001" w:usb1="08070000" w:usb2="00000010" w:usb3="00000000" w:csb0="00020000" w:csb1="00000000"/>
  </w:font>
  <w:font w:name="MyriadPro-Light">
    <w:altName w:val="MS Mincho"/>
    <w:panose1 w:val="00000000000000000000"/>
    <w:charset w:val="80"/>
    <w:family w:val="auto"/>
    <w:notTrueType/>
    <w:pitch w:val="default"/>
    <w:sig w:usb0="00000001" w:usb1="08070000" w:usb2="00000010" w:usb3="00000000" w:csb0="00020000"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651"/>
      <w:docPartObj>
        <w:docPartGallery w:val="Page Numbers (Bottom of Page)"/>
        <w:docPartUnique/>
      </w:docPartObj>
    </w:sdtPr>
    <w:sdtEndPr/>
    <w:sdtContent>
      <w:p w:rsidR="00D86F5A" w:rsidRDefault="00D3009F">
        <w:pPr>
          <w:pStyle w:val="Footer"/>
          <w:jc w:val="right"/>
        </w:pPr>
        <w:r>
          <w:fldChar w:fldCharType="begin"/>
        </w:r>
        <w:r>
          <w:instrText xml:space="preserve"> PAGE   \* MERGEFORMAT </w:instrText>
        </w:r>
        <w:r>
          <w:fldChar w:fldCharType="separate"/>
        </w:r>
        <w:r w:rsidR="006F71DA">
          <w:rPr>
            <w:noProof/>
          </w:rPr>
          <w:t>35</w:t>
        </w:r>
        <w:r>
          <w:rPr>
            <w:noProof/>
          </w:rPr>
          <w:fldChar w:fldCharType="end"/>
        </w:r>
      </w:p>
    </w:sdtContent>
  </w:sdt>
  <w:p w:rsidR="00D86F5A" w:rsidRDefault="00D8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9F" w:rsidRDefault="00D3009F" w:rsidP="009265BC">
      <w:r>
        <w:separator/>
      </w:r>
    </w:p>
  </w:footnote>
  <w:footnote w:type="continuationSeparator" w:id="0">
    <w:p w:rsidR="00D3009F" w:rsidRDefault="00D3009F" w:rsidP="0092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5A" w:rsidRPr="00267596" w:rsidRDefault="00D86F5A" w:rsidP="00267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AA"/>
    <w:multiLevelType w:val="hybridMultilevel"/>
    <w:tmpl w:val="98E6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601F"/>
    <w:multiLevelType w:val="hybridMultilevel"/>
    <w:tmpl w:val="FA22A6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32768BD"/>
    <w:multiLevelType w:val="hybridMultilevel"/>
    <w:tmpl w:val="ED0442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5C7EC0"/>
    <w:multiLevelType w:val="hybridMultilevel"/>
    <w:tmpl w:val="D3389A08"/>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C69CD"/>
    <w:multiLevelType w:val="multilevel"/>
    <w:tmpl w:val="6D40BC4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006B9F"/>
    <w:multiLevelType w:val="hybridMultilevel"/>
    <w:tmpl w:val="47B8BFCC"/>
    <w:lvl w:ilvl="0" w:tplc="7DEAE504">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43E44"/>
    <w:multiLevelType w:val="hybridMultilevel"/>
    <w:tmpl w:val="3ACE5C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3122A"/>
    <w:multiLevelType w:val="hybridMultilevel"/>
    <w:tmpl w:val="19F06F84"/>
    <w:lvl w:ilvl="0" w:tplc="D6A407AE">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8" w15:restartNumberingAfterBreak="0">
    <w:nsid w:val="5EB50220"/>
    <w:multiLevelType w:val="hybridMultilevel"/>
    <w:tmpl w:val="5252672C"/>
    <w:lvl w:ilvl="0" w:tplc="EA2C4F36">
      <w:start w:val="3"/>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C4780"/>
    <w:multiLevelType w:val="hybridMultilevel"/>
    <w:tmpl w:val="8ECC9264"/>
    <w:lvl w:ilvl="0" w:tplc="8E526A1E">
      <w:start w:val="1"/>
      <w:numFmt w:val="upperLetter"/>
      <w:lvlText w:val="%1."/>
      <w:lvlJc w:val="left"/>
      <w:pPr>
        <w:ind w:left="360" w:hanging="360"/>
      </w:pPr>
      <w:rPr>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8"/>
  </w:num>
  <w:num w:numId="5">
    <w:abstractNumId w:val="6"/>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74"/>
    <w:rsid w:val="00000666"/>
    <w:rsid w:val="00002DC2"/>
    <w:rsid w:val="0000573E"/>
    <w:rsid w:val="00015F75"/>
    <w:rsid w:val="00017B03"/>
    <w:rsid w:val="000215F9"/>
    <w:rsid w:val="00024774"/>
    <w:rsid w:val="0005387E"/>
    <w:rsid w:val="000709AF"/>
    <w:rsid w:val="00096F23"/>
    <w:rsid w:val="000A1CD7"/>
    <w:rsid w:val="000A72C5"/>
    <w:rsid w:val="000D2FFC"/>
    <w:rsid w:val="000E6D5D"/>
    <w:rsid w:val="000F2691"/>
    <w:rsid w:val="000F7EAC"/>
    <w:rsid w:val="00102271"/>
    <w:rsid w:val="001076F5"/>
    <w:rsid w:val="0012667E"/>
    <w:rsid w:val="00127204"/>
    <w:rsid w:val="00132528"/>
    <w:rsid w:val="00145C79"/>
    <w:rsid w:val="00162B55"/>
    <w:rsid w:val="00165965"/>
    <w:rsid w:val="001659C3"/>
    <w:rsid w:val="001754F4"/>
    <w:rsid w:val="00192704"/>
    <w:rsid w:val="00195BF8"/>
    <w:rsid w:val="001B04E0"/>
    <w:rsid w:val="001B4FAB"/>
    <w:rsid w:val="001B72A7"/>
    <w:rsid w:val="001C4109"/>
    <w:rsid w:val="001E27F1"/>
    <w:rsid w:val="001E27F8"/>
    <w:rsid w:val="001E722D"/>
    <w:rsid w:val="001F28E8"/>
    <w:rsid w:val="001F6607"/>
    <w:rsid w:val="00217965"/>
    <w:rsid w:val="00234096"/>
    <w:rsid w:val="0024357B"/>
    <w:rsid w:val="00245187"/>
    <w:rsid w:val="00253DB8"/>
    <w:rsid w:val="00257C91"/>
    <w:rsid w:val="00263FCA"/>
    <w:rsid w:val="00267596"/>
    <w:rsid w:val="00285407"/>
    <w:rsid w:val="002B55B1"/>
    <w:rsid w:val="002C7BA2"/>
    <w:rsid w:val="002D3EC2"/>
    <w:rsid w:val="002E5DF6"/>
    <w:rsid w:val="002F1EEB"/>
    <w:rsid w:val="003122A6"/>
    <w:rsid w:val="003262D9"/>
    <w:rsid w:val="003266DD"/>
    <w:rsid w:val="00346A6B"/>
    <w:rsid w:val="003567EC"/>
    <w:rsid w:val="0036327F"/>
    <w:rsid w:val="00377D32"/>
    <w:rsid w:val="00396A73"/>
    <w:rsid w:val="003A3732"/>
    <w:rsid w:val="003A476A"/>
    <w:rsid w:val="003A6D91"/>
    <w:rsid w:val="003A7494"/>
    <w:rsid w:val="003A781F"/>
    <w:rsid w:val="003D13DC"/>
    <w:rsid w:val="003D391F"/>
    <w:rsid w:val="003D5D49"/>
    <w:rsid w:val="003E3A14"/>
    <w:rsid w:val="003E42D4"/>
    <w:rsid w:val="0040184C"/>
    <w:rsid w:val="00412A07"/>
    <w:rsid w:val="00413A15"/>
    <w:rsid w:val="00417F65"/>
    <w:rsid w:val="0042376B"/>
    <w:rsid w:val="00435F07"/>
    <w:rsid w:val="004538E8"/>
    <w:rsid w:val="00463086"/>
    <w:rsid w:val="00465A72"/>
    <w:rsid w:val="00472F3B"/>
    <w:rsid w:val="00480B71"/>
    <w:rsid w:val="00494C88"/>
    <w:rsid w:val="004C0CC4"/>
    <w:rsid w:val="004C4A54"/>
    <w:rsid w:val="004C55D1"/>
    <w:rsid w:val="004D3120"/>
    <w:rsid w:val="004D57CB"/>
    <w:rsid w:val="004E04C0"/>
    <w:rsid w:val="0050606D"/>
    <w:rsid w:val="00521C49"/>
    <w:rsid w:val="00537945"/>
    <w:rsid w:val="00565CA1"/>
    <w:rsid w:val="005744C0"/>
    <w:rsid w:val="00580860"/>
    <w:rsid w:val="00591B2F"/>
    <w:rsid w:val="005968B3"/>
    <w:rsid w:val="005A2A96"/>
    <w:rsid w:val="005A6F1D"/>
    <w:rsid w:val="005B5063"/>
    <w:rsid w:val="005C7DC8"/>
    <w:rsid w:val="005D1F64"/>
    <w:rsid w:val="005D670C"/>
    <w:rsid w:val="006053CD"/>
    <w:rsid w:val="006122CC"/>
    <w:rsid w:val="00614B6E"/>
    <w:rsid w:val="00620D0A"/>
    <w:rsid w:val="00627686"/>
    <w:rsid w:val="00630F79"/>
    <w:rsid w:val="006368E5"/>
    <w:rsid w:val="006422C6"/>
    <w:rsid w:val="00647721"/>
    <w:rsid w:val="006535AF"/>
    <w:rsid w:val="00654406"/>
    <w:rsid w:val="00672723"/>
    <w:rsid w:val="006766B6"/>
    <w:rsid w:val="0069306A"/>
    <w:rsid w:val="00697CC3"/>
    <w:rsid w:val="006A586B"/>
    <w:rsid w:val="006C76B5"/>
    <w:rsid w:val="006E20BD"/>
    <w:rsid w:val="006F71DA"/>
    <w:rsid w:val="00706B11"/>
    <w:rsid w:val="00741B1C"/>
    <w:rsid w:val="00753DA7"/>
    <w:rsid w:val="00762E58"/>
    <w:rsid w:val="007660CF"/>
    <w:rsid w:val="00790D62"/>
    <w:rsid w:val="00793811"/>
    <w:rsid w:val="007B0C4A"/>
    <w:rsid w:val="007B465A"/>
    <w:rsid w:val="007B5F47"/>
    <w:rsid w:val="007C1C50"/>
    <w:rsid w:val="007C7DDA"/>
    <w:rsid w:val="007D5614"/>
    <w:rsid w:val="007D7E92"/>
    <w:rsid w:val="007E6A04"/>
    <w:rsid w:val="007F0EE3"/>
    <w:rsid w:val="007F4974"/>
    <w:rsid w:val="00807545"/>
    <w:rsid w:val="00821DFF"/>
    <w:rsid w:val="00833069"/>
    <w:rsid w:val="00851BED"/>
    <w:rsid w:val="0086265F"/>
    <w:rsid w:val="008653F0"/>
    <w:rsid w:val="00875E54"/>
    <w:rsid w:val="00877312"/>
    <w:rsid w:val="0089334C"/>
    <w:rsid w:val="00895162"/>
    <w:rsid w:val="008979B4"/>
    <w:rsid w:val="008A29B5"/>
    <w:rsid w:val="008A4B50"/>
    <w:rsid w:val="008A55A1"/>
    <w:rsid w:val="008B05F3"/>
    <w:rsid w:val="008D0461"/>
    <w:rsid w:val="008E6EB7"/>
    <w:rsid w:val="008F1C27"/>
    <w:rsid w:val="00902499"/>
    <w:rsid w:val="00917C7D"/>
    <w:rsid w:val="009265BC"/>
    <w:rsid w:val="009265E0"/>
    <w:rsid w:val="00932463"/>
    <w:rsid w:val="009370B4"/>
    <w:rsid w:val="0094559C"/>
    <w:rsid w:val="00953C7C"/>
    <w:rsid w:val="0096621C"/>
    <w:rsid w:val="0098773A"/>
    <w:rsid w:val="00990868"/>
    <w:rsid w:val="00997D70"/>
    <w:rsid w:val="009B09F8"/>
    <w:rsid w:val="009B466F"/>
    <w:rsid w:val="009C0938"/>
    <w:rsid w:val="009C3B3F"/>
    <w:rsid w:val="009D0ECE"/>
    <w:rsid w:val="009E62D9"/>
    <w:rsid w:val="009F1877"/>
    <w:rsid w:val="009F1EAA"/>
    <w:rsid w:val="00A10A0A"/>
    <w:rsid w:val="00A15279"/>
    <w:rsid w:val="00A15E82"/>
    <w:rsid w:val="00A35B1C"/>
    <w:rsid w:val="00A373AD"/>
    <w:rsid w:val="00A46C72"/>
    <w:rsid w:val="00A50478"/>
    <w:rsid w:val="00A50A14"/>
    <w:rsid w:val="00A67C88"/>
    <w:rsid w:val="00A85256"/>
    <w:rsid w:val="00A9151D"/>
    <w:rsid w:val="00A9307A"/>
    <w:rsid w:val="00AA718C"/>
    <w:rsid w:val="00AD31EC"/>
    <w:rsid w:val="00AE4479"/>
    <w:rsid w:val="00AF6E39"/>
    <w:rsid w:val="00AF7355"/>
    <w:rsid w:val="00B07893"/>
    <w:rsid w:val="00B1638D"/>
    <w:rsid w:val="00B24E51"/>
    <w:rsid w:val="00B26A69"/>
    <w:rsid w:val="00B278B3"/>
    <w:rsid w:val="00B3646A"/>
    <w:rsid w:val="00B37DCC"/>
    <w:rsid w:val="00B42C41"/>
    <w:rsid w:val="00B56424"/>
    <w:rsid w:val="00B63B42"/>
    <w:rsid w:val="00B76129"/>
    <w:rsid w:val="00B765A1"/>
    <w:rsid w:val="00B7686C"/>
    <w:rsid w:val="00B80D36"/>
    <w:rsid w:val="00B92FB9"/>
    <w:rsid w:val="00B96F75"/>
    <w:rsid w:val="00BC05EB"/>
    <w:rsid w:val="00BC74C8"/>
    <w:rsid w:val="00BC776E"/>
    <w:rsid w:val="00BD01D4"/>
    <w:rsid w:val="00BD3AEE"/>
    <w:rsid w:val="00BF15CF"/>
    <w:rsid w:val="00BF1B33"/>
    <w:rsid w:val="00BF280F"/>
    <w:rsid w:val="00C04B9B"/>
    <w:rsid w:val="00C2117B"/>
    <w:rsid w:val="00C21D65"/>
    <w:rsid w:val="00C660D7"/>
    <w:rsid w:val="00C754DF"/>
    <w:rsid w:val="00C75E07"/>
    <w:rsid w:val="00C93434"/>
    <w:rsid w:val="00C934F5"/>
    <w:rsid w:val="00C93DBD"/>
    <w:rsid w:val="00CB4A27"/>
    <w:rsid w:val="00CD031A"/>
    <w:rsid w:val="00CD261B"/>
    <w:rsid w:val="00CE4EDF"/>
    <w:rsid w:val="00CF3AF8"/>
    <w:rsid w:val="00D01648"/>
    <w:rsid w:val="00D262DB"/>
    <w:rsid w:val="00D26AE8"/>
    <w:rsid w:val="00D3009F"/>
    <w:rsid w:val="00D35879"/>
    <w:rsid w:val="00D46E8F"/>
    <w:rsid w:val="00D5489E"/>
    <w:rsid w:val="00D562D8"/>
    <w:rsid w:val="00D610E9"/>
    <w:rsid w:val="00D66477"/>
    <w:rsid w:val="00D7338B"/>
    <w:rsid w:val="00D86F5A"/>
    <w:rsid w:val="00D96CA2"/>
    <w:rsid w:val="00DA16F6"/>
    <w:rsid w:val="00DA6187"/>
    <w:rsid w:val="00DB4C0D"/>
    <w:rsid w:val="00DB5429"/>
    <w:rsid w:val="00DC029F"/>
    <w:rsid w:val="00DC18E5"/>
    <w:rsid w:val="00DC509E"/>
    <w:rsid w:val="00DE18B4"/>
    <w:rsid w:val="00DF0CB8"/>
    <w:rsid w:val="00DF2A76"/>
    <w:rsid w:val="00E01D87"/>
    <w:rsid w:val="00E0498C"/>
    <w:rsid w:val="00E15A91"/>
    <w:rsid w:val="00E203D3"/>
    <w:rsid w:val="00E25032"/>
    <w:rsid w:val="00E27D50"/>
    <w:rsid w:val="00E301D0"/>
    <w:rsid w:val="00E339E6"/>
    <w:rsid w:val="00E4248C"/>
    <w:rsid w:val="00E51990"/>
    <w:rsid w:val="00E53657"/>
    <w:rsid w:val="00E63258"/>
    <w:rsid w:val="00E764B4"/>
    <w:rsid w:val="00E76F69"/>
    <w:rsid w:val="00E824CC"/>
    <w:rsid w:val="00E87BF0"/>
    <w:rsid w:val="00EA4E50"/>
    <w:rsid w:val="00EB7B4B"/>
    <w:rsid w:val="00EC7076"/>
    <w:rsid w:val="00ED03FE"/>
    <w:rsid w:val="00EE413D"/>
    <w:rsid w:val="00EF19C7"/>
    <w:rsid w:val="00F06638"/>
    <w:rsid w:val="00F12FE2"/>
    <w:rsid w:val="00F23591"/>
    <w:rsid w:val="00F24DCB"/>
    <w:rsid w:val="00F445D8"/>
    <w:rsid w:val="00F4471F"/>
    <w:rsid w:val="00F55250"/>
    <w:rsid w:val="00F60263"/>
    <w:rsid w:val="00F60D9C"/>
    <w:rsid w:val="00F71C28"/>
    <w:rsid w:val="00F92E4C"/>
    <w:rsid w:val="00FA0383"/>
    <w:rsid w:val="00FA20D3"/>
    <w:rsid w:val="00FA2D46"/>
    <w:rsid w:val="00FB70F9"/>
    <w:rsid w:val="00FC0492"/>
    <w:rsid w:val="00FC6FC4"/>
    <w:rsid w:val="00FD0FBB"/>
    <w:rsid w:val="00FE0211"/>
    <w:rsid w:val="00FE5190"/>
    <w:rsid w:val="00FF06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55DF"/>
  <w15:docId w15:val="{C0E74BFE-09B7-4D7C-ADAB-7000F0A3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74"/>
    <w:pPr>
      <w:spacing w:after="0" w:line="240" w:lineRule="auto"/>
    </w:pPr>
    <w:rPr>
      <w:rFonts w:ascii="Times New Roman" w:eastAsia="Times New Roman" w:hAnsi="Times New Roman" w:cs="Times New Roman"/>
      <w:sz w:val="24"/>
      <w:szCs w:val="24"/>
      <w:lang w:eastAsia="en-MY"/>
    </w:rPr>
  </w:style>
  <w:style w:type="paragraph" w:styleId="Heading1">
    <w:name w:val="heading 1"/>
    <w:basedOn w:val="Normal"/>
    <w:next w:val="Normal"/>
    <w:link w:val="Heading1Char"/>
    <w:uiPriority w:val="9"/>
    <w:qFormat/>
    <w:rsid w:val="00B37DCC"/>
    <w:pPr>
      <w:keepNext/>
      <w:keepLines/>
      <w:spacing w:before="240"/>
      <w:jc w:val="both"/>
      <w:outlineLvl w:val="0"/>
    </w:pPr>
    <w:rPr>
      <w:szCs w:val="32"/>
      <w:lang w:eastAsia="en-US"/>
    </w:rPr>
  </w:style>
  <w:style w:type="paragraph" w:styleId="Heading2">
    <w:name w:val="heading 2"/>
    <w:basedOn w:val="Normal"/>
    <w:next w:val="Normal"/>
    <w:link w:val="Heading2Char"/>
    <w:uiPriority w:val="9"/>
    <w:semiHidden/>
    <w:unhideWhenUsed/>
    <w:qFormat/>
    <w:rsid w:val="00987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C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74"/>
    <w:pPr>
      <w:spacing w:after="200" w:line="276" w:lineRule="auto"/>
      <w:ind w:left="720"/>
      <w:contextualSpacing/>
    </w:pPr>
    <w:rPr>
      <w:rFonts w:ascii="Calibri" w:eastAsia="Calibri" w:hAnsi="Calibri"/>
      <w:sz w:val="22"/>
      <w:szCs w:val="22"/>
      <w:lang w:val="en-US" w:eastAsia="en-US"/>
    </w:rPr>
  </w:style>
  <w:style w:type="paragraph" w:styleId="CommentText">
    <w:name w:val="annotation text"/>
    <w:basedOn w:val="Normal"/>
    <w:link w:val="CommentTextChar"/>
    <w:uiPriority w:val="99"/>
    <w:rsid w:val="00195BF8"/>
    <w:rPr>
      <w:sz w:val="20"/>
      <w:szCs w:val="20"/>
    </w:rPr>
  </w:style>
  <w:style w:type="character" w:customStyle="1" w:styleId="CommentTextChar">
    <w:name w:val="Comment Text Char"/>
    <w:basedOn w:val="DefaultParagraphFont"/>
    <w:link w:val="CommentText"/>
    <w:uiPriority w:val="99"/>
    <w:rsid w:val="00195BF8"/>
    <w:rPr>
      <w:rFonts w:ascii="Times New Roman" w:eastAsia="Times New Roman" w:hAnsi="Times New Roman" w:cs="Times New Roman"/>
      <w:sz w:val="20"/>
      <w:szCs w:val="20"/>
      <w:lang w:eastAsia="en-MY"/>
    </w:rPr>
  </w:style>
  <w:style w:type="paragraph" w:styleId="NoSpacing">
    <w:name w:val="No Spacing"/>
    <w:link w:val="NoSpacingChar"/>
    <w:uiPriority w:val="1"/>
    <w:qFormat/>
    <w:rsid w:val="00D26AE8"/>
    <w:pPr>
      <w:spacing w:after="0" w:line="240" w:lineRule="auto"/>
    </w:pPr>
    <w:rPr>
      <w:rFonts w:ascii="Times New Roman" w:eastAsia="Times New Roman" w:hAnsi="Times New Roman" w:cs="Times New Roman"/>
      <w:sz w:val="24"/>
      <w:szCs w:val="24"/>
      <w:lang w:eastAsia="en-MY"/>
    </w:rPr>
  </w:style>
  <w:style w:type="paragraph" w:customStyle="1" w:styleId="Default">
    <w:name w:val="Default"/>
    <w:rsid w:val="00D733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338B"/>
    <w:rPr>
      <w:color w:val="0000FF" w:themeColor="hyperlink"/>
      <w:u w:val="single"/>
    </w:rPr>
  </w:style>
  <w:style w:type="paragraph" w:styleId="BalloonText">
    <w:name w:val="Balloon Text"/>
    <w:basedOn w:val="Normal"/>
    <w:link w:val="BalloonTextChar"/>
    <w:uiPriority w:val="99"/>
    <w:semiHidden/>
    <w:unhideWhenUsed/>
    <w:rsid w:val="00D7338B"/>
    <w:rPr>
      <w:rFonts w:ascii="Tahoma" w:hAnsi="Tahoma" w:cs="Tahoma"/>
      <w:sz w:val="16"/>
      <w:szCs w:val="16"/>
    </w:rPr>
  </w:style>
  <w:style w:type="character" w:customStyle="1" w:styleId="BalloonTextChar">
    <w:name w:val="Balloon Text Char"/>
    <w:basedOn w:val="DefaultParagraphFont"/>
    <w:link w:val="BalloonText"/>
    <w:uiPriority w:val="99"/>
    <w:semiHidden/>
    <w:rsid w:val="00D7338B"/>
    <w:rPr>
      <w:rFonts w:ascii="Tahoma" w:eastAsia="Times New Roman" w:hAnsi="Tahoma" w:cs="Tahoma"/>
      <w:sz w:val="16"/>
      <w:szCs w:val="16"/>
      <w:lang w:eastAsia="en-MY"/>
    </w:rPr>
  </w:style>
  <w:style w:type="paragraph" w:styleId="Title">
    <w:name w:val="Title"/>
    <w:basedOn w:val="Normal"/>
    <w:next w:val="Normal"/>
    <w:link w:val="TitleChar"/>
    <w:qFormat/>
    <w:rsid w:val="00D7338B"/>
    <w:pPr>
      <w:tabs>
        <w:tab w:val="left" w:pos="227"/>
        <w:tab w:val="left" w:pos="397"/>
        <w:tab w:val="left" w:pos="737"/>
        <w:tab w:val="right" w:pos="7428"/>
      </w:tabs>
      <w:overflowPunct w:val="0"/>
      <w:autoSpaceDE w:val="0"/>
      <w:autoSpaceDN w:val="0"/>
      <w:adjustRightInd w:val="0"/>
      <w:spacing w:after="240"/>
      <w:ind w:right="1701"/>
      <w:textAlignment w:val="baseline"/>
    </w:pPr>
    <w:rPr>
      <w:rFonts w:eastAsia="MS Mincho"/>
      <w:b/>
      <w:szCs w:val="20"/>
      <w:lang w:val="de-DE" w:eastAsia="ja-JP"/>
    </w:rPr>
  </w:style>
  <w:style w:type="character" w:customStyle="1" w:styleId="TitleChar">
    <w:name w:val="Title Char"/>
    <w:basedOn w:val="DefaultParagraphFont"/>
    <w:link w:val="Title"/>
    <w:rsid w:val="00D7338B"/>
    <w:rPr>
      <w:rFonts w:ascii="Times New Roman" w:eastAsia="MS Mincho" w:hAnsi="Times New Roman" w:cs="Times New Roman"/>
      <w:b/>
      <w:sz w:val="24"/>
      <w:szCs w:val="20"/>
      <w:lang w:val="de-DE" w:eastAsia="ja-JP"/>
    </w:rPr>
  </w:style>
  <w:style w:type="paragraph" w:customStyle="1" w:styleId="Affiliation">
    <w:name w:val="Affiliation"/>
    <w:uiPriority w:val="99"/>
    <w:rsid w:val="00D7338B"/>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TTPParagraphothers">
    <w:name w:val="TTP Paragraph (others)"/>
    <w:basedOn w:val="Normal"/>
    <w:uiPriority w:val="99"/>
    <w:rsid w:val="00D7338B"/>
    <w:pPr>
      <w:autoSpaceDE w:val="0"/>
      <w:autoSpaceDN w:val="0"/>
      <w:ind w:firstLine="283"/>
      <w:jc w:val="both"/>
    </w:pPr>
    <w:rPr>
      <w:lang w:val="en-US" w:eastAsia="en-US"/>
    </w:rPr>
  </w:style>
  <w:style w:type="paragraph" w:styleId="BodyText">
    <w:name w:val="Body Text"/>
    <w:basedOn w:val="Normal"/>
    <w:link w:val="BodyTextChar"/>
    <w:unhideWhenUsed/>
    <w:rsid w:val="00D7338B"/>
    <w:pPr>
      <w:suppressAutoHyphens/>
      <w:spacing w:after="6"/>
      <w:ind w:firstLine="288"/>
      <w:jc w:val="both"/>
    </w:pPr>
    <w:rPr>
      <w:rFonts w:eastAsia="SimSun"/>
      <w:spacing w:val="-1"/>
      <w:sz w:val="20"/>
      <w:szCs w:val="20"/>
      <w:lang w:val="en-US" w:eastAsia="zh-CN"/>
    </w:rPr>
  </w:style>
  <w:style w:type="character" w:customStyle="1" w:styleId="BodyTextChar">
    <w:name w:val="Body Text Char"/>
    <w:basedOn w:val="DefaultParagraphFont"/>
    <w:link w:val="BodyText"/>
    <w:rsid w:val="00D7338B"/>
    <w:rPr>
      <w:rFonts w:ascii="Times New Roman" w:eastAsia="SimSun" w:hAnsi="Times New Roman" w:cs="Times New Roman"/>
      <w:spacing w:val="-1"/>
      <w:sz w:val="20"/>
      <w:szCs w:val="20"/>
      <w:lang w:val="en-US" w:eastAsia="zh-CN"/>
    </w:rPr>
  </w:style>
  <w:style w:type="paragraph" w:customStyle="1" w:styleId="figurecaption">
    <w:name w:val="figure caption"/>
    <w:rsid w:val="00D7338B"/>
    <w:pPr>
      <w:tabs>
        <w:tab w:val="num" w:pos="360"/>
      </w:tabs>
      <w:suppressAutoHyphens/>
      <w:spacing w:before="80" w:line="240" w:lineRule="auto"/>
      <w:jc w:val="center"/>
    </w:pPr>
    <w:rPr>
      <w:rFonts w:ascii="Times New Roman" w:eastAsia="SimSun" w:hAnsi="Times New Roman" w:cs="Times New Roman"/>
      <w:sz w:val="16"/>
      <w:szCs w:val="16"/>
      <w:lang w:val="en-US" w:eastAsia="en-MY"/>
    </w:rPr>
  </w:style>
  <w:style w:type="paragraph" w:customStyle="1" w:styleId="Formula">
    <w:name w:val="Formula"/>
    <w:basedOn w:val="Normal"/>
    <w:rsid w:val="00D7338B"/>
    <w:pPr>
      <w:tabs>
        <w:tab w:val="right" w:pos="7428"/>
      </w:tabs>
      <w:overflowPunct w:val="0"/>
      <w:autoSpaceDE w:val="0"/>
      <w:autoSpaceDN w:val="0"/>
      <w:adjustRightInd w:val="0"/>
      <w:spacing w:before="120" w:after="120"/>
      <w:ind w:left="737"/>
    </w:pPr>
    <w:rPr>
      <w:rFonts w:eastAsia="MS Mincho"/>
      <w:sz w:val="20"/>
      <w:szCs w:val="20"/>
      <w:lang w:val="de-DE" w:eastAsia="ja-JP"/>
    </w:rPr>
  </w:style>
  <w:style w:type="paragraph" w:customStyle="1" w:styleId="References">
    <w:name w:val="References"/>
    <w:basedOn w:val="Normal"/>
    <w:next w:val="Normal"/>
    <w:rsid w:val="00D7338B"/>
    <w:pPr>
      <w:tabs>
        <w:tab w:val="left" w:pos="227"/>
        <w:tab w:val="left" w:pos="397"/>
        <w:tab w:val="left" w:pos="737"/>
        <w:tab w:val="right" w:pos="7428"/>
      </w:tabs>
      <w:overflowPunct w:val="0"/>
      <w:autoSpaceDE w:val="0"/>
      <w:autoSpaceDN w:val="0"/>
      <w:adjustRightInd w:val="0"/>
    </w:pPr>
    <w:rPr>
      <w:rFonts w:eastAsia="MS Mincho"/>
      <w:b/>
      <w:sz w:val="20"/>
      <w:szCs w:val="20"/>
      <w:lang w:val="de-DE" w:eastAsia="ja-JP"/>
    </w:rPr>
  </w:style>
  <w:style w:type="paragraph" w:customStyle="1" w:styleId="references0">
    <w:name w:val="references"/>
    <w:uiPriority w:val="99"/>
    <w:rsid w:val="00D7338B"/>
    <w:pPr>
      <w:tabs>
        <w:tab w:val="num" w:pos="360"/>
      </w:tabs>
      <w:suppressAutoHyphens/>
      <w:spacing w:after="50" w:line="180" w:lineRule="atLeast"/>
      <w:jc w:val="both"/>
    </w:pPr>
    <w:rPr>
      <w:rFonts w:ascii="Times New Roman" w:eastAsia="MS Mincho" w:hAnsi="Times New Roman" w:cs="Times New Roman"/>
      <w:sz w:val="18"/>
      <w:szCs w:val="16"/>
      <w:lang w:val="en-US" w:eastAsia="en-MY"/>
    </w:rPr>
  </w:style>
  <w:style w:type="table" w:styleId="TableGrid">
    <w:name w:val="Table Grid"/>
    <w:basedOn w:val="TableNormal"/>
    <w:uiPriority w:val="39"/>
    <w:rsid w:val="00D733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338B"/>
  </w:style>
  <w:style w:type="character" w:styleId="Emphasis">
    <w:name w:val="Emphasis"/>
    <w:basedOn w:val="DefaultParagraphFont"/>
    <w:uiPriority w:val="20"/>
    <w:qFormat/>
    <w:rsid w:val="00D7338B"/>
    <w:rPr>
      <w:i/>
      <w:iCs/>
    </w:rPr>
  </w:style>
  <w:style w:type="table" w:customStyle="1" w:styleId="LightShading1">
    <w:name w:val="Light Shading1"/>
    <w:basedOn w:val="TableNormal"/>
    <w:uiPriority w:val="60"/>
    <w:rsid w:val="00D7338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nhideWhenUsed/>
    <w:rsid w:val="00D7338B"/>
    <w:pPr>
      <w:spacing w:before="100" w:beforeAutospacing="1" w:after="100" w:afterAutospacing="1"/>
    </w:pPr>
    <w:rPr>
      <w:lang w:val="en-US" w:eastAsia="en-US"/>
    </w:rPr>
  </w:style>
  <w:style w:type="paragraph" w:styleId="Header">
    <w:name w:val="header"/>
    <w:basedOn w:val="Normal"/>
    <w:link w:val="HeaderChar"/>
    <w:uiPriority w:val="99"/>
    <w:unhideWhenUsed/>
    <w:rsid w:val="009265BC"/>
    <w:pPr>
      <w:tabs>
        <w:tab w:val="center" w:pos="4513"/>
        <w:tab w:val="right" w:pos="9026"/>
      </w:tabs>
    </w:pPr>
  </w:style>
  <w:style w:type="character" w:customStyle="1" w:styleId="HeaderChar">
    <w:name w:val="Header Char"/>
    <w:basedOn w:val="DefaultParagraphFont"/>
    <w:link w:val="Header"/>
    <w:uiPriority w:val="99"/>
    <w:rsid w:val="009265BC"/>
    <w:rPr>
      <w:rFonts w:ascii="Times New Roman" w:eastAsia="Times New Roman" w:hAnsi="Times New Roman" w:cs="Times New Roman"/>
      <w:sz w:val="24"/>
      <w:szCs w:val="24"/>
      <w:lang w:eastAsia="en-MY"/>
    </w:rPr>
  </w:style>
  <w:style w:type="paragraph" w:styleId="Footer">
    <w:name w:val="footer"/>
    <w:basedOn w:val="Normal"/>
    <w:link w:val="FooterChar"/>
    <w:uiPriority w:val="99"/>
    <w:unhideWhenUsed/>
    <w:rsid w:val="009265BC"/>
    <w:pPr>
      <w:tabs>
        <w:tab w:val="center" w:pos="4513"/>
        <w:tab w:val="right" w:pos="9026"/>
      </w:tabs>
    </w:pPr>
  </w:style>
  <w:style w:type="character" w:customStyle="1" w:styleId="FooterChar">
    <w:name w:val="Footer Char"/>
    <w:basedOn w:val="DefaultParagraphFont"/>
    <w:link w:val="Footer"/>
    <w:uiPriority w:val="99"/>
    <w:rsid w:val="009265BC"/>
    <w:rPr>
      <w:rFonts w:ascii="Times New Roman" w:eastAsia="Times New Roman" w:hAnsi="Times New Roman" w:cs="Times New Roman"/>
      <w:sz w:val="24"/>
      <w:szCs w:val="24"/>
      <w:lang w:eastAsia="en-MY"/>
    </w:rPr>
  </w:style>
  <w:style w:type="paragraph" w:styleId="Subtitle">
    <w:name w:val="Subtitle"/>
    <w:basedOn w:val="Normal"/>
    <w:next w:val="Normal"/>
    <w:link w:val="SubtitleChar"/>
    <w:uiPriority w:val="11"/>
    <w:qFormat/>
    <w:rsid w:val="00B37DCC"/>
    <w:pPr>
      <w:spacing w:after="60" w:line="276" w:lineRule="auto"/>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B37DCC"/>
    <w:rPr>
      <w:rFonts w:ascii="Cambria" w:eastAsia="Times New Roman" w:hAnsi="Cambria" w:cs="Times New Roman"/>
      <w:sz w:val="24"/>
      <w:szCs w:val="24"/>
      <w:lang w:val="en-US"/>
    </w:rPr>
  </w:style>
  <w:style w:type="character" w:customStyle="1" w:styleId="a">
    <w:name w:val="a"/>
    <w:basedOn w:val="DefaultParagraphFont"/>
    <w:rsid w:val="00B37DCC"/>
  </w:style>
  <w:style w:type="paragraph" w:customStyle="1" w:styleId="WP">
    <w:name w:val="WP_標準"/>
    <w:basedOn w:val="Normal"/>
    <w:rsid w:val="00B37DCC"/>
    <w:pPr>
      <w:widowControl w:val="0"/>
      <w:autoSpaceDE w:val="0"/>
      <w:autoSpaceDN w:val="0"/>
      <w:adjustRightInd w:val="0"/>
      <w:textAlignment w:val="baseline"/>
    </w:pPr>
    <w:rPr>
      <w:rFonts w:eastAsia="MS Mincho" w:cs="平成明朝"/>
      <w:sz w:val="20"/>
      <w:szCs w:val="20"/>
      <w:lang w:val="en-US" w:eastAsia="ja-JP"/>
    </w:rPr>
  </w:style>
  <w:style w:type="character" w:customStyle="1" w:styleId="Heading1Char">
    <w:name w:val="Heading 1 Char"/>
    <w:basedOn w:val="DefaultParagraphFont"/>
    <w:link w:val="Heading1"/>
    <w:uiPriority w:val="9"/>
    <w:rsid w:val="00B37DCC"/>
    <w:rPr>
      <w:rFonts w:ascii="Times New Roman" w:eastAsia="Times New Roman" w:hAnsi="Times New Roman" w:cs="Times New Roman"/>
      <w:sz w:val="24"/>
      <w:szCs w:val="32"/>
    </w:rPr>
  </w:style>
  <w:style w:type="table" w:customStyle="1" w:styleId="LightShading10">
    <w:name w:val="Light Shading1"/>
    <w:basedOn w:val="TableNormal"/>
    <w:uiPriority w:val="60"/>
    <w:rsid w:val="006C76B5"/>
    <w:pPr>
      <w:spacing w:after="0" w:line="240" w:lineRule="auto"/>
    </w:pPr>
    <w:rPr>
      <w:rFonts w:eastAsiaTheme="minorEastAsia"/>
      <w:color w:val="000000" w:themeColor="text1" w:themeShade="BF"/>
      <w:lang w:eastAsia="en-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C76B5"/>
    <w:pPr>
      <w:spacing w:after="0" w:line="240" w:lineRule="auto"/>
    </w:pPr>
    <w:rPr>
      <w:rFonts w:eastAsiaTheme="minorEastAsia"/>
      <w:color w:val="000000" w:themeColor="text1" w:themeShade="BF"/>
      <w:lang w:eastAsia="en-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6C76B5"/>
  </w:style>
  <w:style w:type="character" w:customStyle="1" w:styleId="hps">
    <w:name w:val="hps"/>
    <w:basedOn w:val="DefaultParagraphFont"/>
    <w:rsid w:val="006C76B5"/>
  </w:style>
  <w:style w:type="paragraph" w:styleId="Caption">
    <w:name w:val="caption"/>
    <w:basedOn w:val="Normal"/>
    <w:next w:val="Normal"/>
    <w:uiPriority w:val="35"/>
    <w:unhideWhenUsed/>
    <w:qFormat/>
    <w:rsid w:val="006C76B5"/>
    <w:pPr>
      <w:autoSpaceDE w:val="0"/>
      <w:autoSpaceDN w:val="0"/>
      <w:adjustRightInd w:val="0"/>
      <w:spacing w:line="360" w:lineRule="auto"/>
      <w:jc w:val="both"/>
    </w:pPr>
    <w:rPr>
      <w:rFonts w:eastAsia="Calibri"/>
      <w:b/>
      <w:bCs/>
      <w:sz w:val="20"/>
      <w:szCs w:val="20"/>
      <w:lang w:val="en-US" w:eastAsia="en-US"/>
    </w:rPr>
  </w:style>
  <w:style w:type="table" w:customStyle="1" w:styleId="PlainTable51">
    <w:name w:val="Plain Table 51"/>
    <w:basedOn w:val="TableNormal"/>
    <w:uiPriority w:val="45"/>
    <w:rsid w:val="006C76B5"/>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SpacingChar">
    <w:name w:val="No Spacing Char"/>
    <w:basedOn w:val="DefaultParagraphFont"/>
    <w:link w:val="NoSpacing"/>
    <w:uiPriority w:val="1"/>
    <w:rsid w:val="006C76B5"/>
    <w:rPr>
      <w:rFonts w:ascii="Times New Roman" w:eastAsia="Times New Roman" w:hAnsi="Times New Roman" w:cs="Times New Roman"/>
      <w:sz w:val="24"/>
      <w:szCs w:val="24"/>
      <w:lang w:eastAsia="en-MY"/>
    </w:rPr>
  </w:style>
  <w:style w:type="character" w:customStyle="1" w:styleId="CharAttribute2">
    <w:name w:val="CharAttribute2"/>
    <w:rsid w:val="006C76B5"/>
    <w:rPr>
      <w:rFonts w:ascii="Times New Roman" w:eastAsia="Times New Roman"/>
      <w:sz w:val="24"/>
    </w:rPr>
  </w:style>
  <w:style w:type="character" w:customStyle="1" w:styleId="CharAttribute22">
    <w:name w:val="CharAttribute22"/>
    <w:rsid w:val="006C76B5"/>
    <w:rPr>
      <w:rFonts w:ascii="Times New Roman" w:eastAsia="Times New Roman"/>
      <w:i/>
      <w:sz w:val="24"/>
    </w:rPr>
  </w:style>
  <w:style w:type="character" w:customStyle="1" w:styleId="CharAttribute23">
    <w:name w:val="CharAttribute23"/>
    <w:rsid w:val="006C76B5"/>
    <w:rPr>
      <w:rFonts w:ascii="Times New Roman" w:eastAsia="MyriadPro-Light"/>
      <w:sz w:val="24"/>
    </w:rPr>
  </w:style>
  <w:style w:type="paragraph" w:customStyle="1" w:styleId="western">
    <w:name w:val="western"/>
    <w:basedOn w:val="Normal"/>
    <w:rsid w:val="0094559C"/>
    <w:pPr>
      <w:spacing w:before="100" w:beforeAutospacing="1" w:after="144" w:line="288" w:lineRule="auto"/>
    </w:pPr>
    <w:rPr>
      <w:rFonts w:ascii="Calibri" w:hAnsi="Calibri"/>
      <w:color w:val="000000"/>
      <w:sz w:val="22"/>
      <w:szCs w:val="22"/>
      <w:lang w:val="en-US" w:eastAsia="en-US"/>
    </w:rPr>
  </w:style>
  <w:style w:type="paragraph" w:styleId="Quote">
    <w:name w:val="Quote"/>
    <w:basedOn w:val="Normal"/>
    <w:next w:val="Normal"/>
    <w:link w:val="QuoteChar"/>
    <w:uiPriority w:val="29"/>
    <w:qFormat/>
    <w:rsid w:val="009F1877"/>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9F1877"/>
    <w:rPr>
      <w:rFonts w:ascii="Calibri" w:eastAsia="Calibri" w:hAnsi="Calibri" w:cs="Times New Roman"/>
      <w:i/>
      <w:iCs/>
      <w:color w:val="000000"/>
    </w:rPr>
  </w:style>
  <w:style w:type="character" w:customStyle="1" w:styleId="InternetLink">
    <w:name w:val="Internet Link"/>
    <w:basedOn w:val="DefaultParagraphFont"/>
    <w:rsid w:val="009F1877"/>
    <w:rPr>
      <w:color w:val="0000FF"/>
      <w:u w:val="single"/>
      <w:lang w:val="en-US" w:eastAsia="en-US" w:bidi="en-US"/>
    </w:rPr>
  </w:style>
  <w:style w:type="paragraph" w:customStyle="1" w:styleId="Textbody">
    <w:name w:val="Text body"/>
    <w:basedOn w:val="Normal"/>
    <w:rsid w:val="009F1877"/>
    <w:pPr>
      <w:widowControl w:val="0"/>
      <w:tabs>
        <w:tab w:val="left" w:pos="709"/>
      </w:tabs>
      <w:suppressAutoHyphens/>
      <w:spacing w:after="120" w:line="276" w:lineRule="auto"/>
    </w:pPr>
    <w:rPr>
      <w:rFonts w:ascii="Liberation Serif" w:eastAsia="Droid Sans Fallback" w:hAnsi="Liberation Serif" w:cs="FreeSans"/>
      <w:color w:val="00000A"/>
      <w:lang w:val="en-US" w:eastAsia="zh-CN" w:bidi="hi-IN"/>
    </w:rPr>
  </w:style>
  <w:style w:type="paragraph" w:customStyle="1" w:styleId="BodyText1">
    <w:name w:val="Body Text1"/>
    <w:basedOn w:val="Normal"/>
    <w:next w:val="Normal"/>
    <w:qFormat/>
    <w:rsid w:val="001E27F8"/>
    <w:pPr>
      <w:autoSpaceDE w:val="0"/>
      <w:autoSpaceDN w:val="0"/>
      <w:adjustRightInd w:val="0"/>
      <w:spacing w:before="240" w:after="240" w:line="480" w:lineRule="auto"/>
      <w:ind w:firstLine="709"/>
      <w:jc w:val="both"/>
    </w:pPr>
    <w:rPr>
      <w:rFonts w:eastAsiaTheme="minorHAnsi" w:cstheme="minorBidi"/>
      <w:color w:val="000000" w:themeColor="text1"/>
      <w:szCs w:val="22"/>
      <w:lang w:val="en-US" w:eastAsia="en-US"/>
    </w:rPr>
  </w:style>
  <w:style w:type="character" w:customStyle="1" w:styleId="A2">
    <w:name w:val="A2"/>
    <w:uiPriority w:val="99"/>
    <w:rsid w:val="001E27F8"/>
    <w:rPr>
      <w:rFonts w:cs="New Baskerville"/>
      <w:color w:val="000000"/>
      <w:sz w:val="22"/>
      <w:szCs w:val="22"/>
    </w:rPr>
  </w:style>
  <w:style w:type="paragraph" w:customStyle="1" w:styleId="p">
    <w:name w:val="p"/>
    <w:basedOn w:val="Normal"/>
    <w:rsid w:val="001E27F8"/>
    <w:pPr>
      <w:spacing w:before="100" w:beforeAutospacing="1" w:after="100" w:afterAutospacing="1"/>
    </w:pPr>
  </w:style>
  <w:style w:type="paragraph" w:customStyle="1" w:styleId="EndNoteBibliography">
    <w:name w:val="EndNote Bibliography"/>
    <w:basedOn w:val="Normal"/>
    <w:link w:val="EndNoteBibliographyChar"/>
    <w:rsid w:val="00B63B42"/>
    <w:pPr>
      <w:spacing w:after="200"/>
    </w:pPr>
    <w:rPr>
      <w:rFonts w:ascii="Calibri" w:eastAsia="MS Mincho" w:hAnsi="Calibri"/>
      <w:noProof/>
      <w:sz w:val="22"/>
      <w:szCs w:val="22"/>
      <w:lang w:eastAsia="zh-TW"/>
    </w:rPr>
  </w:style>
  <w:style w:type="character" w:customStyle="1" w:styleId="EndNoteBibliographyChar">
    <w:name w:val="EndNote Bibliography Char"/>
    <w:link w:val="EndNoteBibliography"/>
    <w:rsid w:val="00B63B42"/>
    <w:rPr>
      <w:rFonts w:ascii="Calibri" w:eastAsia="MS Mincho" w:hAnsi="Calibri" w:cs="Times New Roman"/>
      <w:noProof/>
      <w:lang w:eastAsia="zh-TW"/>
    </w:rPr>
  </w:style>
  <w:style w:type="paragraph" w:customStyle="1" w:styleId="Section">
    <w:name w:val="Section"/>
    <w:basedOn w:val="Normal"/>
    <w:next w:val="Normal"/>
    <w:rsid w:val="00DB4C0D"/>
    <w:pPr>
      <w:tabs>
        <w:tab w:val="right" w:pos="7428"/>
      </w:tabs>
      <w:overflowPunct w:val="0"/>
      <w:autoSpaceDE w:val="0"/>
      <w:autoSpaceDN w:val="0"/>
      <w:adjustRightInd w:val="0"/>
      <w:spacing w:after="120"/>
      <w:jc w:val="distribute"/>
      <w:textAlignment w:val="baseline"/>
    </w:pPr>
    <w:rPr>
      <w:rFonts w:eastAsia="MS Mincho"/>
      <w:b/>
      <w:lang w:val="en-US" w:eastAsia="ja-JP"/>
    </w:rPr>
  </w:style>
  <w:style w:type="character" w:customStyle="1" w:styleId="Heading3Char">
    <w:name w:val="Heading 3 Char"/>
    <w:basedOn w:val="DefaultParagraphFont"/>
    <w:link w:val="Heading3"/>
    <w:uiPriority w:val="9"/>
    <w:semiHidden/>
    <w:rsid w:val="00DB4C0D"/>
    <w:rPr>
      <w:rFonts w:asciiTheme="majorHAnsi" w:eastAsiaTheme="majorEastAsia" w:hAnsiTheme="majorHAnsi" w:cstheme="majorBidi"/>
      <w:b/>
      <w:bCs/>
      <w:color w:val="4F81BD" w:themeColor="accent1"/>
      <w:sz w:val="24"/>
      <w:szCs w:val="24"/>
      <w:lang w:eastAsia="en-MY"/>
    </w:rPr>
  </w:style>
  <w:style w:type="character" w:customStyle="1" w:styleId="element-citation">
    <w:name w:val="element-citation"/>
    <w:basedOn w:val="DefaultParagraphFont"/>
    <w:rsid w:val="00DB4C0D"/>
  </w:style>
  <w:style w:type="character" w:customStyle="1" w:styleId="ref-journal">
    <w:name w:val="ref-journal"/>
    <w:basedOn w:val="DefaultParagraphFont"/>
    <w:rsid w:val="00DB4C0D"/>
  </w:style>
  <w:style w:type="character" w:customStyle="1" w:styleId="ref-vol">
    <w:name w:val="ref-vol"/>
    <w:basedOn w:val="DefaultParagraphFont"/>
    <w:rsid w:val="00DB4C0D"/>
  </w:style>
  <w:style w:type="character" w:customStyle="1" w:styleId="nowrap">
    <w:name w:val="nowrap"/>
    <w:basedOn w:val="DefaultParagraphFont"/>
    <w:rsid w:val="00DB4C0D"/>
  </w:style>
  <w:style w:type="paragraph" w:customStyle="1" w:styleId="p0">
    <w:name w:val="p0"/>
    <w:basedOn w:val="Normal"/>
    <w:rsid w:val="0098773A"/>
  </w:style>
  <w:style w:type="paragraph" w:customStyle="1" w:styleId="Mdeck2authoraffiliation">
    <w:name w:val="M_deck_2_author_affiliation"/>
    <w:qFormat/>
    <w:rsid w:val="0098773A"/>
    <w:pPr>
      <w:widowControl w:val="0"/>
      <w:kinsoku w:val="0"/>
      <w:overflowPunct w:val="0"/>
      <w:autoSpaceDE w:val="0"/>
      <w:autoSpaceDN w:val="0"/>
      <w:adjustRightInd w:val="0"/>
      <w:snapToGrid w:val="0"/>
      <w:spacing w:after="0" w:line="340" w:lineRule="atLeast"/>
      <w:ind w:left="288" w:hanging="28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next w:val="Normal"/>
    <w:qFormat/>
    <w:rsid w:val="0098773A"/>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snapToGrid w:val="0"/>
      <w:color w:val="000000"/>
      <w:sz w:val="24"/>
      <w:szCs w:val="20"/>
      <w:lang w:val="en-US" w:eastAsia="de-DE" w:bidi="en-US"/>
    </w:rPr>
  </w:style>
  <w:style w:type="paragraph" w:customStyle="1" w:styleId="Mdeck2authorname">
    <w:name w:val="M_deck_2_author_name"/>
    <w:next w:val="Mdeck2authoraffiliation"/>
    <w:qFormat/>
    <w:rsid w:val="0098773A"/>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szCs w:val="20"/>
      <w:lang w:val="en-US" w:eastAsia="de-DE" w:bidi="en-US"/>
    </w:rPr>
  </w:style>
  <w:style w:type="paragraph" w:customStyle="1" w:styleId="PaperTitle">
    <w:name w:val="Paper Title"/>
    <w:basedOn w:val="Normal"/>
    <w:rsid w:val="0098773A"/>
    <w:pPr>
      <w:spacing w:before="480"/>
      <w:jc w:val="center"/>
    </w:pPr>
    <w:rPr>
      <w:b/>
      <w:caps/>
      <w:lang w:val="en-GB" w:eastAsia="en-US"/>
    </w:rPr>
  </w:style>
  <w:style w:type="character" w:styleId="PageNumber">
    <w:name w:val="page number"/>
    <w:basedOn w:val="DefaultParagraphFont"/>
    <w:rsid w:val="0098773A"/>
  </w:style>
  <w:style w:type="character" w:customStyle="1" w:styleId="yshortcuts">
    <w:name w:val="yshortcuts"/>
    <w:basedOn w:val="DefaultParagraphFont"/>
    <w:rsid w:val="0098773A"/>
  </w:style>
  <w:style w:type="character" w:customStyle="1" w:styleId="Heading2Char">
    <w:name w:val="Heading 2 Char"/>
    <w:basedOn w:val="DefaultParagraphFont"/>
    <w:link w:val="Heading2"/>
    <w:uiPriority w:val="9"/>
    <w:semiHidden/>
    <w:rsid w:val="0098773A"/>
    <w:rPr>
      <w:rFonts w:asciiTheme="majorHAnsi" w:eastAsiaTheme="majorEastAsia" w:hAnsiTheme="majorHAnsi" w:cstheme="majorBidi"/>
      <w:b/>
      <w:bCs/>
      <w:color w:val="4F81BD" w:themeColor="accent1"/>
      <w:sz w:val="26"/>
      <w:szCs w:val="26"/>
      <w:lang w:eastAsia="en-MY"/>
    </w:rPr>
  </w:style>
  <w:style w:type="character" w:customStyle="1" w:styleId="alt-edited">
    <w:name w:val="alt-edited"/>
    <w:basedOn w:val="DefaultParagraphFont"/>
    <w:rsid w:val="0098773A"/>
  </w:style>
  <w:style w:type="character" w:customStyle="1" w:styleId="5yl5">
    <w:name w:val="_5yl5"/>
    <w:basedOn w:val="DefaultParagraphFont"/>
    <w:rsid w:val="0098773A"/>
  </w:style>
  <w:style w:type="paragraph" w:customStyle="1" w:styleId="TTPAddress">
    <w:name w:val="TTP Address"/>
    <w:basedOn w:val="Normal"/>
    <w:uiPriority w:val="99"/>
    <w:rsid w:val="00B7686C"/>
    <w:pPr>
      <w:autoSpaceDE w:val="0"/>
      <w:autoSpaceDN w:val="0"/>
      <w:spacing w:before="120"/>
      <w:jc w:val="center"/>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0FA3-9CAD-4145-97EC-DB3DC27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Proceedings of the International Conference on Life Sciences Revolution: 29-30 November 2016</vt:lpstr>
    </vt:vector>
  </TitlesOfParts>
  <Company>Hewlett-Packard</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 the International Conference on Life Sciences Revolution: 29-30 November 2016</dc:title>
  <dc:creator>DrNorsuhaila</dc:creator>
  <cp:lastModifiedBy>suhaila yaacob</cp:lastModifiedBy>
  <cp:revision>3</cp:revision>
  <cp:lastPrinted>2015-11-05T18:24:00Z</cp:lastPrinted>
  <dcterms:created xsi:type="dcterms:W3CDTF">2019-05-09T00:32:00Z</dcterms:created>
  <dcterms:modified xsi:type="dcterms:W3CDTF">2019-05-09T01:01:00Z</dcterms:modified>
</cp:coreProperties>
</file>